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企业公共信用综合评价规范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1" w:name="BookMark2"/>
      <w:bookmarkStart w:id="22" w:name="BookMark4"/>
      <w:r>
        <w:rPr>
          <w:rFonts w:hint="eastAsia"/>
          <w:spacing w:val="320"/>
        </w:rPr>
        <w:t>前</w:t>
      </w:r>
      <w:r>
        <w:rPr>
          <w:rFonts w:hint="eastAsia"/>
        </w:rP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w:t>
      </w:r>
      <w:r>
        <w:rPr>
          <w:rFonts w:hint="eastAsia" w:hAnsi="宋体"/>
          <w:szCs w:val="21"/>
          <w:lang w:val="en-US" w:eastAsia="zh-CN"/>
        </w:rPr>
        <w:t>安徽省经济信息中心</w:t>
      </w:r>
      <w:r>
        <w:rPr>
          <w:rFonts w:hint="eastAsia"/>
        </w:rPr>
        <w:t>提出。</w:t>
      </w:r>
    </w:p>
    <w:p>
      <w:pPr>
        <w:pStyle w:val="56"/>
        <w:ind w:firstLine="420"/>
      </w:pPr>
      <w:r>
        <w:rPr>
          <w:rFonts w:hint="eastAsia"/>
        </w:rPr>
        <w:t>本文件由安徽省发展和改革委员会归口。</w:t>
      </w:r>
    </w:p>
    <w:p>
      <w:pPr>
        <w:pStyle w:val="56"/>
        <w:ind w:firstLine="420"/>
      </w:pPr>
      <w:r>
        <w:rPr>
          <w:rFonts w:hint="eastAsia"/>
        </w:rPr>
        <w:t>本文件起草单位：</w:t>
      </w:r>
      <w:r>
        <w:rPr>
          <w:rFonts w:hint="eastAsia" w:hAnsi="宋体"/>
          <w:szCs w:val="21"/>
          <w:lang w:val="en-US" w:eastAsia="zh-CN"/>
        </w:rPr>
        <w:t>安徽省经济信息中心、</w:t>
      </w:r>
      <w:r>
        <w:rPr>
          <w:rFonts w:hint="eastAsia" w:hAnsi="宋体"/>
          <w:szCs w:val="21"/>
        </w:rPr>
        <w:t>安徽省发展和改革委员会财金信用处</w:t>
      </w:r>
      <w:r>
        <w:rPr>
          <w:rFonts w:hint="eastAsia" w:hAnsi="宋体"/>
          <w:szCs w:val="21"/>
          <w:lang w:eastAsia="zh-CN"/>
        </w:rPr>
        <w:t>、</w:t>
      </w:r>
      <w:r>
        <w:rPr>
          <w:rFonts w:hint="eastAsia" w:hAnsi="宋体"/>
          <w:szCs w:val="21"/>
        </w:rPr>
        <w:t>安徽省质量和标准化研究院、</w:t>
      </w:r>
      <w:r>
        <w:rPr>
          <w:rFonts w:hint="default" w:hAnsi="宋体"/>
          <w:szCs w:val="21"/>
        </w:rPr>
        <w:fldChar w:fldCharType="begin"/>
      </w:r>
      <w:r>
        <w:rPr>
          <w:rFonts w:hint="default" w:hAnsi="宋体"/>
          <w:szCs w:val="21"/>
        </w:rPr>
        <w:instrText xml:space="preserve"> HYPERLINK "javascript:void(0);" </w:instrText>
      </w:r>
      <w:r>
        <w:rPr>
          <w:rFonts w:hint="default" w:hAnsi="宋体"/>
          <w:szCs w:val="21"/>
        </w:rPr>
        <w:fldChar w:fldCharType="separate"/>
      </w:r>
      <w:r>
        <w:rPr>
          <w:rFonts w:hint="eastAsia" w:hAnsi="宋体"/>
          <w:szCs w:val="21"/>
        </w:rPr>
        <w:t>安徽省安征信用服务有限责任公司</w:t>
      </w:r>
      <w:r>
        <w:rPr>
          <w:rFonts w:hint="eastAsia" w:hAnsi="宋体"/>
          <w:szCs w:val="21"/>
        </w:rPr>
        <w:fldChar w:fldCharType="end"/>
      </w:r>
      <w:r>
        <w:rPr>
          <w:rFonts w:hint="eastAsia" w:hAnsi="宋体"/>
          <w:szCs w:val="21"/>
        </w:rPr>
        <w:t>、科大国创软件股份有限公司</w:t>
      </w:r>
      <w:r>
        <w:rPr>
          <w:rFonts w:hint="eastAsia"/>
        </w:rPr>
        <w:t>。</w:t>
      </w:r>
    </w:p>
    <w:p>
      <w:pPr>
        <w:pStyle w:val="56"/>
        <w:ind w:firstLine="420"/>
        <w:rPr>
          <w:rFonts w:ascii="黑体" w:hAnsi="黑体" w:eastAsia="黑体"/>
          <w:sz w:val="32"/>
          <w:szCs w:val="32"/>
        </w:rPr>
        <w:sectPr>
          <w:headerReference r:id="rId11" w:type="default"/>
          <w:footerReference r:id="rId13" w:type="default"/>
          <w:headerReference r:id="rId12" w:type="even"/>
          <w:pgSz w:w="11906" w:h="16838"/>
          <w:pgMar w:top="1928" w:right="1134" w:bottom="1134" w:left="1134" w:header="1418" w:footer="1134" w:gutter="284"/>
          <w:pgNumType w:start="1"/>
          <w:cols w:space="425" w:num="1"/>
          <w:formProt w:val="0"/>
          <w:docGrid w:type="lines" w:linePitch="312" w:charSpace="0"/>
        </w:sectPr>
      </w:pPr>
      <w:r>
        <w:rPr>
          <w:rFonts w:hint="eastAsia"/>
        </w:rPr>
        <w:t>本文件主要起草人：陈海轮</w:t>
      </w:r>
      <w:r>
        <w:rPr>
          <w:rFonts w:hint="eastAsia"/>
          <w:lang w:eastAsia="zh-CN"/>
        </w:rPr>
        <w:t>、</w:t>
      </w:r>
      <w:r>
        <w:rPr>
          <w:rFonts w:hint="eastAsia"/>
        </w:rPr>
        <w:t>孙永礼</w:t>
      </w:r>
      <w:r>
        <w:rPr>
          <w:rFonts w:hint="eastAsia"/>
          <w:lang w:eastAsia="zh-CN"/>
        </w:rPr>
        <w:t>、</w:t>
      </w:r>
      <w:r>
        <w:rPr>
          <w:rFonts w:hint="eastAsia"/>
        </w:rPr>
        <w:t>王亮</w:t>
      </w:r>
      <w:r>
        <w:rPr>
          <w:rFonts w:hint="eastAsia"/>
          <w:lang w:eastAsia="zh-CN"/>
        </w:rPr>
        <w:t>、</w:t>
      </w:r>
      <w:r>
        <w:rPr>
          <w:rFonts w:hint="eastAsia"/>
        </w:rPr>
        <w:t>林兴虹</w:t>
      </w:r>
      <w:r>
        <w:rPr>
          <w:rFonts w:hint="eastAsia"/>
          <w:lang w:eastAsia="zh-CN"/>
        </w:rPr>
        <w:t>、</w:t>
      </w:r>
      <w:r>
        <w:rPr>
          <w:rFonts w:hint="eastAsia"/>
        </w:rPr>
        <w:t>钱岚</w:t>
      </w:r>
      <w:r>
        <w:rPr>
          <w:rFonts w:hint="eastAsia"/>
          <w:lang w:eastAsia="zh-CN"/>
        </w:rPr>
        <w:t>、</w:t>
      </w:r>
      <w:r>
        <w:rPr>
          <w:rFonts w:hint="eastAsia"/>
        </w:rPr>
        <w:t>张士胜</w:t>
      </w:r>
      <w:r>
        <w:rPr>
          <w:rFonts w:hint="eastAsia"/>
          <w:lang w:eastAsia="zh-CN"/>
        </w:rPr>
        <w:t>、</w:t>
      </w:r>
      <w:r>
        <w:rPr>
          <w:rFonts w:hint="eastAsia"/>
        </w:rPr>
        <w:t>孙明</w:t>
      </w:r>
      <w:r>
        <w:rPr>
          <w:rFonts w:hint="eastAsia"/>
          <w:lang w:eastAsia="zh-CN"/>
        </w:rPr>
        <w:t>、</w:t>
      </w:r>
      <w:r>
        <w:rPr>
          <w:rFonts w:hint="eastAsia"/>
        </w:rPr>
        <w:t>王平安</w:t>
      </w:r>
      <w:r>
        <w:rPr>
          <w:rFonts w:hint="eastAsia"/>
          <w:lang w:eastAsia="zh-CN"/>
        </w:rPr>
        <w:t>、</w:t>
      </w:r>
      <w:r>
        <w:rPr>
          <w:rFonts w:hint="eastAsia"/>
        </w:rPr>
        <w:t>丁磊</w:t>
      </w:r>
      <w:r>
        <w:rPr>
          <w:rFonts w:hint="eastAsia"/>
          <w:lang w:eastAsia="zh-CN"/>
        </w:rPr>
        <w:t>、</w:t>
      </w:r>
      <w:r>
        <w:rPr>
          <w:rFonts w:hint="eastAsia"/>
        </w:rPr>
        <w:t>梁志星。</w:t>
      </w:r>
      <w:bookmarkEnd w:id="21"/>
    </w:p>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tag w:val="NEW_STAND_NAME"/>
        <w:id w:val="595910757"/>
        <w:lock w:val="sdtLocked"/>
        <w:placeholder>
          <w:docPart w:val="78CD87753FA24A5EB153DEB8E5DBEFE1"/>
        </w:placeholder>
      </w:sdtPr>
      <w:sdtContent>
        <w:p>
          <w:pPr>
            <w:pStyle w:val="177"/>
            <w:spacing w:before="3" w:beforeLines="1" w:after="686" w:afterLines="220"/>
          </w:pPr>
          <w:bookmarkStart w:id="23" w:name="NEW_STAND_NAME"/>
          <w:r>
            <w:rPr>
              <w:rFonts w:hint="eastAsia"/>
            </w:rPr>
            <w:t>企业公共信用综合评价规范</w:t>
          </w:r>
        </w:p>
      </w:sdtContent>
    </w:sdt>
    <w:bookmarkEnd w:id="23"/>
    <w:p>
      <w:pPr>
        <w:pStyle w:val="104"/>
        <w:spacing w:before="312" w:after="312"/>
      </w:pPr>
      <w:bookmarkStart w:id="24" w:name="_Toc26986771"/>
      <w:bookmarkStart w:id="25" w:name="_Toc24884218"/>
      <w:bookmarkStart w:id="26" w:name="_Toc24884211"/>
      <w:bookmarkStart w:id="27" w:name="_Toc26986530"/>
      <w:bookmarkStart w:id="28" w:name="_Toc17233325"/>
      <w:bookmarkStart w:id="29" w:name="_Toc97191423"/>
      <w:bookmarkStart w:id="30" w:name="_Toc26718930"/>
      <w:bookmarkStart w:id="31" w:name="_Toc17233333"/>
      <w:bookmarkStart w:id="32" w:name="_Toc26648465"/>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26648466"/>
      <w:bookmarkStart w:id="34" w:name="_Toc17233334"/>
      <w:bookmarkStart w:id="35" w:name="_Toc24884219"/>
      <w:bookmarkStart w:id="36" w:name="_Toc17233326"/>
      <w:bookmarkStart w:id="37" w:name="_Toc24884212"/>
      <w:r>
        <w:rPr>
          <w:rFonts w:hint="eastAsia"/>
        </w:rPr>
        <w:t>本文件规定了企业公共信用评价的术语和定义、评价原则、评价方法、结果查询、异议处理、信用修复和应用。</w:t>
      </w:r>
    </w:p>
    <w:p>
      <w:pPr>
        <w:pStyle w:val="56"/>
        <w:ind w:firstLine="420"/>
      </w:pPr>
      <w:r>
        <w:rPr>
          <w:rFonts w:hint="eastAsia"/>
        </w:rPr>
        <w:t>本文件适用于安徽省企业公共信用的综合评价。</w:t>
      </w:r>
    </w:p>
    <w:p>
      <w:pPr>
        <w:pStyle w:val="104"/>
        <w:spacing w:before="312" w:after="312"/>
      </w:pPr>
      <w:bookmarkStart w:id="38" w:name="_Toc26986772"/>
      <w:bookmarkStart w:id="39" w:name="_Toc26718931"/>
      <w:bookmarkStart w:id="40" w:name="_Toc269865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8a6a2c9-97a5-490e-863e-cf4b7c49c3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default"/>
        </w:rPr>
      </w:pPr>
      <w:r>
        <w:rPr>
          <w:rFonts w:hint="default"/>
          <w:lang w:val="en-US" w:eastAsia="zh-CN"/>
        </w:rPr>
        <w:t xml:space="preserve">GB/T 22117‐2018 信用 基本术语 </w:t>
      </w:r>
    </w:p>
    <w:p>
      <w:pPr>
        <w:pStyle w:val="56"/>
        <w:rPr>
          <w:rFonts w:hint="default" w:ascii="Times New Roman" w:hAnsi="Times New Roman" w:cs="Times New Roman"/>
        </w:rPr>
      </w:pPr>
    </w:p>
    <w:p>
      <w:pPr>
        <w:pStyle w:val="104"/>
        <w:spacing w:before="312" w:after="312"/>
      </w:pPr>
      <w:bookmarkStart w:id="42" w:name="_Toc97191425"/>
      <w:r>
        <w:rPr>
          <w:rFonts w:hint="eastAsia"/>
          <w:szCs w:val="21"/>
        </w:rPr>
        <w:t>术语和定义</w:t>
      </w:r>
      <w:bookmarkEnd w:id="42"/>
    </w:p>
    <w:sdt>
      <w:sdtPr>
        <w:id w:val="-1909835108"/>
        <w:placeholder>
          <w:docPart w:val="54BF574FEEF74F198FCEEC1BE0A8CB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105"/>
        <w:spacing w:before="156" w:after="156"/>
      </w:pPr>
    </w:p>
    <w:p>
      <w:pPr>
        <w:pStyle w:val="105"/>
        <w:numPr>
          <w:ilvl w:val="0"/>
          <w:numId w:val="0"/>
        </w:numPr>
        <w:spacing w:before="156" w:after="156"/>
        <w:ind w:firstLine="420"/>
        <w:rPr>
          <w:rFonts w:hint="eastAsia" w:eastAsia="黑体"/>
          <w:lang w:val="en-US" w:eastAsia="zh-CN"/>
        </w:rPr>
      </w:pPr>
      <w:r>
        <w:rPr>
          <w:rFonts w:hint="eastAsia"/>
        </w:rPr>
        <w:t>公共信用信息</w:t>
      </w:r>
      <w:r>
        <w:rPr>
          <w:rFonts w:hint="eastAsia"/>
          <w:lang w:val="en-US" w:eastAsia="zh-CN"/>
        </w:rPr>
        <w:t xml:space="preserve"> </w:t>
      </w:r>
      <w:r>
        <w:rPr>
          <w:rFonts w:hint="default" w:ascii="Times New Roman" w:hAnsi="Times New Roman" w:cs="Times New Roman"/>
          <w:lang w:val="en-US" w:eastAsia="zh-CN"/>
        </w:rPr>
        <w:t>public credit information</w:t>
      </w:r>
    </w:p>
    <w:p>
      <w:pPr>
        <w:pStyle w:val="56"/>
        <w:ind w:firstLine="420"/>
        <w:rPr>
          <w:rFonts w:hint="eastAsia" w:ascii="Times New Roman" w:hAnsi="Times New Roman" w:cs="Times New Roman"/>
        </w:rPr>
      </w:pPr>
      <w:r>
        <w:rPr>
          <w:rFonts w:hint="default" w:ascii="Times New Roman" w:hAnsi="Times New Roman" w:cs="Times New Roman"/>
        </w:rPr>
        <w:t>依法行使公共职能的部门履职过程产生的有关各类市场主体的信用信息。</w:t>
      </w:r>
      <w:r>
        <w:rPr>
          <w:rFonts w:hint="eastAsia" w:ascii="Times New Roman" w:hAnsi="Times New Roman" w:cs="Times New Roman"/>
        </w:rPr>
        <w:br w:type="textWrapping"/>
      </w:r>
      <w:r>
        <w:rPr>
          <w:rFonts w:hint="eastAsia" w:ascii="Times New Roman" w:hAnsi="Times New Roman" w:cs="Times New Roman"/>
        </w:rPr>
        <w:t>　　注：依法行使公共职能的部门包括行政机关，司法机关以及依法行使公共管理(服务)职能的企，事业单位和社会组织。</w:t>
      </w:r>
    </w:p>
    <w:p>
      <w:pPr>
        <w:pStyle w:val="56"/>
        <w:ind w:firstLine="420"/>
        <w:rPr>
          <w:rFonts w:hint="eastAsia" w:ascii="Times New Roman" w:hAnsi="Times New Roman" w:cs="Times New Roman"/>
        </w:rPr>
      </w:pPr>
      <w:r>
        <w:rPr>
          <w:rFonts w:hint="eastAsia" w:ascii="Times New Roman" w:hAnsi="Times New Roman" w:cs="Times New Roman"/>
          <w:lang w:val="en-US" w:eastAsia="zh-CN"/>
        </w:rPr>
        <w:t>[来源：</w:t>
      </w:r>
      <w:r>
        <w:rPr>
          <w:rFonts w:hint="default" w:ascii="Times New Roman" w:hAnsi="Times New Roman" w:cs="Times New Roman"/>
          <w:lang w:val="en-US" w:eastAsia="zh-CN"/>
        </w:rPr>
        <w:t>GB/T 22117-2018</w:t>
      </w:r>
      <w:r>
        <w:rPr>
          <w:rFonts w:hint="eastAsia" w:ascii="Times New Roman" w:cs="Times New Roman"/>
          <w:lang w:val="en-US" w:eastAsia="zh-CN"/>
        </w:rPr>
        <w:t>，</w:t>
      </w:r>
      <w:r>
        <w:rPr>
          <w:rFonts w:hint="default" w:ascii="Times New Roman" w:hAnsi="Times New Roman" w:cs="Times New Roman"/>
          <w:lang w:val="en-US" w:eastAsia="zh-CN"/>
        </w:rPr>
        <w:t>2.</w:t>
      </w:r>
      <w:r>
        <w:rPr>
          <w:rFonts w:hint="eastAsia" w:ascii="Times New Roman" w:hAnsi="Times New Roman" w:cs="Times New Roman"/>
          <w:lang w:val="en-US" w:eastAsia="zh-CN"/>
        </w:rPr>
        <w:t>2</w:t>
      </w:r>
      <w:r>
        <w:rPr>
          <w:rFonts w:hint="default" w:ascii="Times New Roman" w:hAnsi="Times New Roman" w:cs="Times New Roman"/>
          <w:lang w:val="en-US" w:eastAsia="zh-CN"/>
        </w:rPr>
        <w:t>4]</w:t>
      </w:r>
    </w:p>
    <w:p>
      <w:pPr>
        <w:pStyle w:val="105"/>
        <w:spacing w:before="156" w:after="156"/>
      </w:pPr>
    </w:p>
    <w:p>
      <w:pPr>
        <w:pStyle w:val="105"/>
        <w:numPr>
          <w:ilvl w:val="0"/>
          <w:numId w:val="0"/>
        </w:numPr>
        <w:spacing w:before="156" w:after="156"/>
        <w:ind w:firstLine="420"/>
        <w:rPr>
          <w:rFonts w:hint="eastAsia"/>
        </w:rPr>
      </w:pPr>
      <w:r>
        <w:rPr>
          <w:rFonts w:hint="eastAsia"/>
        </w:rPr>
        <w:t>信用等级 credit grade</w:t>
      </w:r>
    </w:p>
    <w:p>
      <w:pPr>
        <w:pStyle w:val="56"/>
        <w:ind w:firstLine="420"/>
        <w:rPr>
          <w:rFonts w:hint="default" w:ascii="Times New Roman" w:hAnsi="Times New Roman" w:cs="Times New Roman"/>
        </w:rPr>
      </w:pPr>
      <w:r>
        <w:rPr>
          <w:rFonts w:hint="default" w:ascii="Times New Roman" w:hAnsi="Times New Roman" w:cs="Times New Roman"/>
        </w:rPr>
        <w:t>用既定的符号标识评级对象信用状况的级别结果。</w:t>
      </w:r>
    </w:p>
    <w:p>
      <w:pPr>
        <w:pStyle w:val="56"/>
        <w:ind w:firstLine="420"/>
        <w:rPr>
          <w:rFonts w:hint="default" w:ascii="Times New Roman" w:hAnsi="Times New Roman" w:cs="Times New Roman"/>
        </w:rPr>
      </w:pPr>
      <w:r>
        <w:rPr>
          <w:rFonts w:hint="default" w:ascii="Times New Roman" w:hAnsi="Times New Roman" w:cs="Times New Roman"/>
        </w:rPr>
        <w:t>[来源：GB/T 22117-2018，5.11]</w:t>
      </w:r>
    </w:p>
    <w:p>
      <w:pPr>
        <w:pStyle w:val="105"/>
        <w:spacing w:before="156" w:after="156"/>
      </w:pPr>
    </w:p>
    <w:p>
      <w:pPr>
        <w:pStyle w:val="105"/>
        <w:numPr>
          <w:ilvl w:val="0"/>
          <w:numId w:val="0"/>
        </w:numPr>
        <w:spacing w:before="156" w:after="156"/>
        <w:ind w:firstLine="420"/>
      </w:pPr>
      <w:r>
        <w:rPr>
          <w:rFonts w:hint="eastAsia"/>
        </w:rPr>
        <w:t>企业公共信用综合评价</w:t>
      </w:r>
      <w:r>
        <w:rPr>
          <w:rFonts w:hint="default" w:ascii="Times New Roman" w:hAnsi="Times New Roman" w:cs="Times New Roman"/>
          <w:lang w:val="en-US" w:eastAsia="zh-CN"/>
        </w:rPr>
        <w:t>comprehensive evaluation according to</w:t>
      </w:r>
      <w:r>
        <w:rPr>
          <w:rFonts w:hint="eastAsia" w:ascii="Times New Roman" w:cs="Times New Roman"/>
          <w:lang w:val="en-US" w:eastAsia="zh-CN"/>
        </w:rPr>
        <w:t xml:space="preserve"> e</w:t>
      </w:r>
      <w:r>
        <w:rPr>
          <w:rFonts w:hint="default" w:ascii="Times New Roman" w:hAnsi="Times New Roman" w:cs="Times New Roman"/>
          <w:lang w:val="en-US" w:eastAsia="zh-CN"/>
        </w:rPr>
        <w:t>nterprise</w:t>
      </w:r>
      <w:r>
        <w:rPr>
          <w:rFonts w:hint="eastAsia" w:ascii="Times New Roman" w:cs="Times New Roman"/>
          <w:lang w:val="en-US" w:eastAsia="zh-CN"/>
        </w:rPr>
        <w:t xml:space="preserve"> </w:t>
      </w:r>
      <w:r>
        <w:rPr>
          <w:rFonts w:hint="default" w:ascii="Times New Roman" w:hAnsi="Times New Roman" w:cs="Times New Roman"/>
          <w:lang w:val="en-US" w:eastAsia="zh-CN"/>
        </w:rPr>
        <w:t xml:space="preserve">public credit </w:t>
      </w:r>
      <w:r>
        <w:rPr>
          <w:rFonts w:hint="eastAsia" w:ascii="Times New Roman" w:hAnsi="Times New Roman" w:cs="Times New Roman"/>
          <w:lang w:val="en-US" w:eastAsia="zh-CN"/>
        </w:rPr>
        <w:t>information</w:t>
      </w:r>
    </w:p>
    <w:p>
      <w:pPr>
        <w:pStyle w:val="56"/>
        <w:ind w:firstLine="420"/>
        <w:rPr>
          <w:rFonts w:hint="eastAsia"/>
        </w:rPr>
      </w:pPr>
      <w:r>
        <w:rPr>
          <w:rFonts w:hint="eastAsia"/>
        </w:rPr>
        <w:t>根据公共信用信息，对企业的综合信用状况进行分析评价的活动。</w:t>
      </w:r>
    </w:p>
    <w:p>
      <w:pPr>
        <w:pStyle w:val="104"/>
        <w:spacing w:before="312" w:after="312"/>
      </w:pPr>
      <w:r>
        <w:rPr>
          <w:rFonts w:hint="eastAsia"/>
        </w:rPr>
        <w:t>评价原则</w:t>
      </w:r>
    </w:p>
    <w:p>
      <w:pPr>
        <w:pStyle w:val="105"/>
        <w:spacing w:before="156" w:after="156"/>
      </w:pPr>
      <w:r>
        <w:rPr>
          <w:rFonts w:hint="eastAsia"/>
        </w:rPr>
        <w:t>科学合理</w:t>
      </w:r>
    </w:p>
    <w:p>
      <w:pPr>
        <w:pStyle w:val="56"/>
        <w:ind w:firstLine="420"/>
      </w:pPr>
      <w:r>
        <w:rPr>
          <w:rFonts w:hint="eastAsia"/>
        </w:rPr>
        <w:t>应合理设置评价指标，细化评价指标和评分规则，优化指标体系和评价模型。</w:t>
      </w:r>
    </w:p>
    <w:p>
      <w:pPr>
        <w:pStyle w:val="105"/>
        <w:spacing w:before="156" w:after="156"/>
      </w:pPr>
      <w:r>
        <w:rPr>
          <w:rFonts w:hint="eastAsia"/>
        </w:rPr>
        <w:t>广泛征询</w:t>
      </w:r>
    </w:p>
    <w:p>
      <w:pPr>
        <w:pStyle w:val="56"/>
        <w:ind w:firstLine="420"/>
      </w:pPr>
      <w:r>
        <w:rPr>
          <w:rFonts w:hint="eastAsia"/>
        </w:rPr>
        <w:t>评价指标和方法设计应向行业相关部门征询意见并搜集相关数据作为支撑。</w:t>
      </w:r>
    </w:p>
    <w:p>
      <w:pPr>
        <w:pStyle w:val="105"/>
        <w:spacing w:before="156" w:after="156"/>
      </w:pPr>
      <w:r>
        <w:rPr>
          <w:rFonts w:hint="eastAsia"/>
        </w:rPr>
        <w:t>试验验证</w:t>
      </w:r>
    </w:p>
    <w:p>
      <w:pPr>
        <w:pStyle w:val="56"/>
        <w:ind w:firstLine="420"/>
      </w:pPr>
      <w:r>
        <w:rPr>
          <w:rFonts w:hint="eastAsia"/>
        </w:rPr>
        <w:t>评价指标和方法应在一定范围内进行试验验证，在获得验证之后将评价方法进行广泛应用。</w:t>
      </w:r>
    </w:p>
    <w:p>
      <w:pPr>
        <w:pStyle w:val="104"/>
        <w:spacing w:before="312" w:after="312"/>
      </w:pPr>
      <w:r>
        <w:rPr>
          <w:rFonts w:hint="eastAsia"/>
        </w:rPr>
        <w:t>评价方法</w:t>
      </w:r>
    </w:p>
    <w:p>
      <w:pPr>
        <w:pStyle w:val="105"/>
        <w:spacing w:before="156" w:after="156"/>
      </w:pPr>
      <w:r>
        <w:rPr>
          <w:rFonts w:hint="eastAsia"/>
        </w:rPr>
        <w:t>信用评分</w:t>
      </w:r>
    </w:p>
    <w:p>
      <w:pPr>
        <w:pStyle w:val="65"/>
        <w:spacing w:before="156" w:after="156"/>
      </w:pPr>
      <w:r>
        <w:rPr>
          <w:rFonts w:hint="eastAsia"/>
        </w:rPr>
        <w:t>评分指标</w:t>
      </w:r>
    </w:p>
    <w:p>
      <w:pPr>
        <w:pStyle w:val="165"/>
        <w:numPr>
          <w:ilvl w:val="0"/>
          <w:numId w:val="0"/>
        </w:numPr>
        <w:ind w:firstLine="420"/>
      </w:pPr>
      <w:r>
        <w:rPr>
          <w:rFonts w:hint="eastAsia"/>
        </w:rPr>
        <w:t>通过对企业基本情况、遵纪守法、荣誉资质和社会责任四个维度选取评价指标进行赋值打分，得出企业公共信用的综合评分，具体指标和评分规则见附录A。</w:t>
      </w:r>
    </w:p>
    <w:p>
      <w:pPr>
        <w:pStyle w:val="65"/>
        <w:spacing w:before="156" w:after="156"/>
      </w:pPr>
      <w:r>
        <w:rPr>
          <w:rFonts w:hint="eastAsia"/>
        </w:rPr>
        <w:t>计算公式</w:t>
      </w:r>
    </w:p>
    <w:p>
      <w:pPr>
        <w:pStyle w:val="165"/>
        <w:numPr>
          <w:ilvl w:val="0"/>
          <w:numId w:val="0"/>
        </w:numPr>
        <w:ind w:firstLine="420"/>
      </w:pPr>
      <w:r>
        <w:rPr>
          <w:rFonts w:hint="eastAsia"/>
        </w:rPr>
        <w:t>信用评分</w:t>
      </w:r>
      <w:r>
        <w:t>采用动态循环评分法</w:t>
      </w:r>
      <w:r>
        <w:rPr>
          <w:rFonts w:hint="eastAsia"/>
        </w:rPr>
        <w:t>，满分为1</w:t>
      </w:r>
      <w:r>
        <w:t>00</w:t>
      </w:r>
      <w:r>
        <w:rPr>
          <w:rFonts w:hint="eastAsia"/>
        </w:rPr>
        <w:t>分。其中扣分指标分值为8</w:t>
      </w:r>
      <w:r>
        <w:t>0</w:t>
      </w:r>
      <w:r>
        <w:rPr>
          <w:rFonts w:hint="eastAsia"/>
        </w:rPr>
        <w:t>分、加分指标分值为2</w:t>
      </w:r>
      <w:r>
        <w:t>0</w:t>
      </w:r>
      <w:r>
        <w:rPr>
          <w:rFonts w:hint="eastAsia"/>
        </w:rPr>
        <w:t>分，计分方式如下：</w:t>
      </w:r>
    </w:p>
    <w:p>
      <w:pPr>
        <w:pStyle w:val="56"/>
        <w:ind w:firstLine="420"/>
        <w:jc w:val="center"/>
      </w:pPr>
      <w:r>
        <w:rPr>
          <w:rFonts w:hint="eastAsia"/>
        </w:rPr>
        <w:t>综合得分 =</w:t>
      </w:r>
      <w:r>
        <w:t xml:space="preserve"> </w:t>
      </w:r>
      <w:r>
        <w:rPr>
          <w:rFonts w:hint="eastAsia"/>
        </w:rPr>
        <w:t>80</w:t>
      </w:r>
      <w:r>
        <w:t xml:space="preserve"> </w:t>
      </w:r>
      <w:r>
        <w:rPr>
          <w:rFonts w:hint="eastAsia"/>
        </w:rPr>
        <w:t>-</w:t>
      </w:r>
      <w:r>
        <w:t xml:space="preserve"> </w:t>
      </w:r>
      <w:r>
        <w:rPr>
          <w:rFonts w:hint="eastAsia"/>
        </w:rPr>
        <w:t>扣分项得分 +</w:t>
      </w:r>
      <w:r>
        <w:t xml:space="preserve"> </w:t>
      </w:r>
      <w:r>
        <w:rPr>
          <w:rFonts w:hint="eastAsia"/>
        </w:rPr>
        <w:t>加分项得分</w:t>
      </w:r>
    </w:p>
    <w:p>
      <w:pPr>
        <w:pStyle w:val="56"/>
        <w:ind w:firstLine="420"/>
      </w:pPr>
      <w:r>
        <w:rPr>
          <w:rFonts w:hint="eastAsia"/>
        </w:rPr>
        <w:t>其中：综合得分为企业公共信用综合评价的最终得分；</w:t>
      </w:r>
    </w:p>
    <w:p>
      <w:pPr>
        <w:pStyle w:val="56"/>
        <w:ind w:firstLine="420"/>
      </w:pPr>
      <w:r>
        <w:rPr>
          <w:rFonts w:hint="eastAsia"/>
        </w:rPr>
        <w:t xml:space="preserve"> </w:t>
      </w:r>
      <w:r>
        <w:t xml:space="preserve">     </w:t>
      </w:r>
      <w:r>
        <w:rPr>
          <w:rFonts w:hint="eastAsia"/>
        </w:rPr>
        <w:t>扣分项包括严重失信主体名单、行政处罚、行政强制、行政检查等；</w:t>
      </w:r>
    </w:p>
    <w:p>
      <w:pPr>
        <w:pStyle w:val="56"/>
        <w:ind w:firstLine="420"/>
      </w:pPr>
      <w:r>
        <w:rPr>
          <w:rFonts w:hint="eastAsia"/>
        </w:rPr>
        <w:t xml:space="preserve"> </w:t>
      </w:r>
      <w:r>
        <w:t xml:space="preserve">     </w:t>
      </w:r>
      <w:r>
        <w:rPr>
          <w:rFonts w:hint="eastAsia"/>
        </w:rPr>
        <w:t>加分项包括荣誉资质、社会责任等，相应分值见附录A。</w:t>
      </w:r>
    </w:p>
    <w:p>
      <w:pPr>
        <w:pStyle w:val="105"/>
        <w:spacing w:before="156" w:after="156"/>
      </w:pPr>
      <w:r>
        <w:rPr>
          <w:rFonts w:hint="eastAsia"/>
        </w:rPr>
        <w:t>信用等级</w:t>
      </w:r>
    </w:p>
    <w:p>
      <w:pPr>
        <w:pStyle w:val="165"/>
      </w:pPr>
      <w:r>
        <w:rPr>
          <w:rFonts w:hint="eastAsia"/>
        </w:rPr>
        <w:t>根据企业公共信用的综合评分可得出其所对应的信用等级，具体见表1。</w:t>
      </w:r>
    </w:p>
    <w:p>
      <w:pPr>
        <w:pStyle w:val="112"/>
        <w:spacing w:before="156" w:after="156"/>
      </w:pPr>
      <w:r>
        <w:rPr>
          <w:rFonts w:hint="eastAsia"/>
        </w:rPr>
        <w:t>企业公共信用的信用等级划分</w:t>
      </w:r>
    </w:p>
    <w:tbl>
      <w:tblPr>
        <w:tblStyle w:val="27"/>
        <w:tblW w:w="93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1417"/>
        <w:gridCol w:w="63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550" w:type="dxa"/>
            <w:tcBorders>
              <w:top w:val="single" w:color="auto" w:sz="8" w:space="0"/>
              <w:bottom w:val="single" w:color="auto" w:sz="8" w:space="0"/>
            </w:tcBorders>
            <w:shd w:val="clear" w:color="auto" w:fill="auto"/>
            <w:vAlign w:val="center"/>
          </w:tcPr>
          <w:p>
            <w:pPr>
              <w:pStyle w:val="178"/>
            </w:pPr>
            <w:r>
              <w:rPr>
                <w:rFonts w:hint="eastAsia"/>
              </w:rPr>
              <w:t>等级</w:t>
            </w:r>
          </w:p>
        </w:tc>
        <w:tc>
          <w:tcPr>
            <w:tcW w:w="1417" w:type="dxa"/>
            <w:tcBorders>
              <w:top w:val="single" w:color="auto" w:sz="8" w:space="0"/>
              <w:bottom w:val="single" w:color="auto" w:sz="8" w:space="0"/>
            </w:tcBorders>
            <w:vAlign w:val="center"/>
          </w:tcPr>
          <w:p>
            <w:pPr>
              <w:pStyle w:val="178"/>
            </w:pPr>
            <w:r>
              <w:rPr>
                <w:rFonts w:hint="eastAsia"/>
              </w:rPr>
              <w:t>分数线（含）</w:t>
            </w:r>
          </w:p>
        </w:tc>
        <w:tc>
          <w:tcPr>
            <w:tcW w:w="6379" w:type="dxa"/>
            <w:tcBorders>
              <w:top w:val="single" w:color="auto" w:sz="8" w:space="0"/>
              <w:bottom w:val="single" w:color="auto" w:sz="8" w:space="0"/>
            </w:tcBorders>
            <w:shd w:val="clear" w:color="auto" w:fill="auto"/>
            <w:vAlign w:val="center"/>
          </w:tcPr>
          <w:p>
            <w:pPr>
              <w:pStyle w:val="178"/>
            </w:pPr>
            <w:r>
              <w:rPr>
                <w:rFonts w:hint="eastAsia"/>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shd w:val="clear" w:color="auto" w:fill="auto"/>
            <w:vAlign w:val="center"/>
          </w:tcPr>
          <w:p>
            <w:pPr>
              <w:pStyle w:val="178"/>
            </w:pPr>
            <w:r>
              <w:rPr>
                <w:rFonts w:hint="eastAsia"/>
              </w:rPr>
              <w:t>A（优级）</w:t>
            </w:r>
          </w:p>
        </w:tc>
        <w:tc>
          <w:tcPr>
            <w:tcW w:w="1417" w:type="dxa"/>
            <w:tcBorders>
              <w:top w:val="single" w:color="auto" w:sz="8" w:space="0"/>
            </w:tcBorders>
            <w:vAlign w:val="center"/>
          </w:tcPr>
          <w:p>
            <w:pPr>
              <w:pStyle w:val="178"/>
              <w:rPr>
                <w:rFonts w:hint="eastAsia"/>
              </w:rPr>
            </w:pPr>
            <w:r>
              <w:rPr>
                <w:rFonts w:hint="eastAsia"/>
              </w:rPr>
              <w:t>分数</w:t>
            </w:r>
            <w:r>
              <w:rPr>
                <w:rFonts w:hint="default"/>
                <w:lang w:val="en-US" w:eastAsia="zh-CN"/>
              </w:rPr>
              <w:t xml:space="preserve">≥90 </w:t>
            </w:r>
          </w:p>
        </w:tc>
        <w:tc>
          <w:tcPr>
            <w:tcW w:w="6379" w:type="dxa"/>
            <w:tcBorders>
              <w:top w:val="single" w:color="auto" w:sz="8" w:space="0"/>
            </w:tcBorders>
            <w:shd w:val="clear" w:color="auto" w:fill="auto"/>
            <w:vAlign w:val="center"/>
          </w:tcPr>
          <w:p>
            <w:pPr>
              <w:pStyle w:val="178"/>
              <w:jc w:val="both"/>
            </w:pPr>
            <w:r>
              <w:rPr>
                <w:rFonts w:hint="eastAsia"/>
              </w:rPr>
              <w:t>评价期内未发现公共信用负面记录或存在较少或轻微负面记录，且其它方面信用综合状况优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pPr>
              <w:pStyle w:val="178"/>
            </w:pPr>
            <w:r>
              <w:rPr>
                <w:rFonts w:hint="eastAsia"/>
              </w:rPr>
              <w:t>B（良级）</w:t>
            </w:r>
          </w:p>
        </w:tc>
        <w:tc>
          <w:tcPr>
            <w:tcW w:w="1417" w:type="dxa"/>
            <w:vAlign w:val="center"/>
          </w:tcPr>
          <w:p>
            <w:pPr>
              <w:pStyle w:val="178"/>
              <w:rPr>
                <w:rFonts w:hint="eastAsia"/>
              </w:rPr>
            </w:pPr>
            <w:r>
              <w:rPr>
                <w:rFonts w:hint="default"/>
                <w:lang w:val="en-US" w:eastAsia="zh-CN"/>
              </w:rPr>
              <w:t>75≤</w:t>
            </w:r>
            <w:r>
              <w:rPr>
                <w:rFonts w:hint="eastAsia"/>
              </w:rPr>
              <w:t>分数</w:t>
            </w:r>
            <w:r>
              <w:rPr>
                <w:rFonts w:hint="default"/>
                <w:lang w:val="en-US" w:eastAsia="zh-CN"/>
              </w:rPr>
              <w:t>˂90</w:t>
            </w:r>
          </w:p>
        </w:tc>
        <w:tc>
          <w:tcPr>
            <w:tcW w:w="6379" w:type="dxa"/>
            <w:shd w:val="clear" w:color="auto" w:fill="auto"/>
            <w:vAlign w:val="center"/>
          </w:tcPr>
          <w:p>
            <w:pPr>
              <w:pStyle w:val="178"/>
              <w:jc w:val="both"/>
            </w:pPr>
            <w:r>
              <w:rPr>
                <w:rFonts w:hint="eastAsia"/>
              </w:rPr>
              <w:t>评价期内出现少量且不严重的负面记录，且其它方面信用综合状况良好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pPr>
              <w:pStyle w:val="178"/>
            </w:pPr>
            <w:r>
              <w:rPr>
                <w:rFonts w:hint="eastAsia"/>
              </w:rPr>
              <w:t>C（中级）</w:t>
            </w:r>
          </w:p>
        </w:tc>
        <w:tc>
          <w:tcPr>
            <w:tcW w:w="1417" w:type="dxa"/>
            <w:vAlign w:val="center"/>
          </w:tcPr>
          <w:p>
            <w:pPr>
              <w:pStyle w:val="178"/>
              <w:rPr>
                <w:rFonts w:hint="eastAsia"/>
              </w:rPr>
            </w:pPr>
            <w:r>
              <w:rPr>
                <w:rFonts w:hint="default"/>
                <w:lang w:val="en-US" w:eastAsia="zh-CN"/>
              </w:rPr>
              <w:t>60≤</w:t>
            </w:r>
            <w:r>
              <w:rPr>
                <w:rFonts w:hint="eastAsia"/>
              </w:rPr>
              <w:t>分数</w:t>
            </w:r>
            <w:r>
              <w:rPr>
                <w:rFonts w:hint="default"/>
                <w:lang w:val="en-US" w:eastAsia="zh-CN"/>
              </w:rPr>
              <w:t>˂75</w:t>
            </w:r>
          </w:p>
        </w:tc>
        <w:tc>
          <w:tcPr>
            <w:tcW w:w="6379" w:type="dxa"/>
            <w:shd w:val="clear" w:color="auto" w:fill="auto"/>
            <w:vAlign w:val="center"/>
          </w:tcPr>
          <w:p>
            <w:pPr>
              <w:pStyle w:val="178"/>
              <w:jc w:val="both"/>
            </w:pPr>
            <w:r>
              <w:rPr>
                <w:rFonts w:hint="eastAsia"/>
              </w:rPr>
              <w:t>评价期内未产生严重情形负面信用记录，且负面记录数量较少，其它方面信用综合状况较好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pPr>
              <w:pStyle w:val="178"/>
            </w:pPr>
            <w:r>
              <w:rPr>
                <w:rFonts w:hint="eastAsia"/>
              </w:rPr>
              <w:t>D（差级）</w:t>
            </w:r>
          </w:p>
        </w:tc>
        <w:tc>
          <w:tcPr>
            <w:tcW w:w="1417" w:type="dxa"/>
            <w:vAlign w:val="center"/>
          </w:tcPr>
          <w:p>
            <w:pPr>
              <w:pStyle w:val="178"/>
              <w:rPr>
                <w:rFonts w:hint="eastAsia"/>
              </w:rPr>
            </w:pPr>
            <w:r>
              <w:rPr>
                <w:rFonts w:hint="eastAsia"/>
              </w:rPr>
              <w:t>分数</w:t>
            </w:r>
            <w:r>
              <w:rPr>
                <w:rFonts w:hint="default"/>
                <w:lang w:val="en-US" w:eastAsia="zh-CN"/>
              </w:rPr>
              <w:t>˂60</w:t>
            </w:r>
          </w:p>
        </w:tc>
        <w:tc>
          <w:tcPr>
            <w:tcW w:w="6379" w:type="dxa"/>
            <w:shd w:val="clear" w:color="auto" w:fill="auto"/>
            <w:vAlign w:val="center"/>
          </w:tcPr>
          <w:p>
            <w:pPr>
              <w:pStyle w:val="178"/>
              <w:jc w:val="both"/>
            </w:pPr>
            <w:r>
              <w:rPr>
                <w:rFonts w:hint="eastAsia"/>
              </w:rPr>
              <w:t>评价期内进入严重失信主体名单或存在严重负面信用记录，且负面记录较多</w:t>
            </w:r>
          </w:p>
        </w:tc>
      </w:tr>
    </w:tbl>
    <w:p>
      <w:pPr>
        <w:pStyle w:val="165"/>
        <w:numPr>
          <w:ilvl w:val="0"/>
          <w:numId w:val="0"/>
        </w:numPr>
      </w:pPr>
    </w:p>
    <w:p>
      <w:pPr>
        <w:pStyle w:val="165"/>
      </w:pPr>
      <w:r>
        <w:rPr>
          <w:rFonts w:hint="eastAsia"/>
        </w:rPr>
        <w:t>企业具有下列情形的，信用等级不高于“B”：</w:t>
      </w:r>
    </w:p>
    <w:p>
      <w:pPr>
        <w:pStyle w:val="132"/>
      </w:pPr>
      <w:r>
        <w:rPr>
          <w:rFonts w:hint="eastAsia"/>
        </w:rPr>
        <w:t>成立时间不满1年（自实际登记日起）；</w:t>
      </w:r>
    </w:p>
    <w:p>
      <w:pPr>
        <w:pStyle w:val="132"/>
      </w:pPr>
      <w:r>
        <w:rPr>
          <w:rFonts w:hint="eastAsia"/>
        </w:rPr>
        <w:t>有行政处罚、虚假承诺、合同违约等不良信用记录且少于5条。</w:t>
      </w:r>
    </w:p>
    <w:p>
      <w:pPr>
        <w:pStyle w:val="165"/>
      </w:pPr>
      <w:r>
        <w:rPr>
          <w:rFonts w:hint="eastAsia"/>
        </w:rPr>
        <w:t>企业具有下列情形的，信用等级不高于“C”：</w:t>
      </w:r>
    </w:p>
    <w:p>
      <w:pPr>
        <w:pStyle w:val="132"/>
      </w:pPr>
      <w:r>
        <w:rPr>
          <w:rFonts w:hint="eastAsia"/>
        </w:rPr>
        <w:t>被列入经营异常名录等重点关注名单的；</w:t>
      </w:r>
    </w:p>
    <w:p>
      <w:pPr>
        <w:pStyle w:val="132"/>
      </w:pPr>
      <w:r>
        <w:rPr>
          <w:rFonts w:hint="eastAsia"/>
        </w:rPr>
        <w:t>有行政处罚、虚假承诺、合同违约等不良信用记录且不少于5条。</w:t>
      </w:r>
    </w:p>
    <w:p>
      <w:pPr>
        <w:pStyle w:val="165"/>
      </w:pPr>
      <w:r>
        <w:rPr>
          <w:rFonts w:hint="eastAsia"/>
        </w:rPr>
        <w:t>企业具有下列情形的，信用等级为“D”：</w:t>
      </w:r>
    </w:p>
    <w:p>
      <w:pPr>
        <w:pStyle w:val="132"/>
      </w:pPr>
      <w:r>
        <w:rPr>
          <w:rFonts w:hint="eastAsia"/>
        </w:rPr>
        <w:t>被有关国家机关列为严重失信主体名单、行业“黑名单”等；</w:t>
      </w:r>
    </w:p>
    <w:p>
      <w:pPr>
        <w:pStyle w:val="132"/>
      </w:pPr>
      <w:r>
        <w:rPr>
          <w:rFonts w:hint="eastAsia"/>
        </w:rPr>
        <w:t>被处暂扣或者吊销许可证件、限制开展生产经营活动、责令停产停业、责令关闭等行政处罚；</w:t>
      </w:r>
    </w:p>
    <w:p>
      <w:pPr>
        <w:pStyle w:val="132"/>
      </w:pPr>
      <w:r>
        <w:rPr>
          <w:rFonts w:hint="eastAsia"/>
        </w:rPr>
        <w:t>因诈骗、非法集资、非法吸收公众存款、商业贿赂、制售有毒有害食品或伪劣商品、发生重大安全生产责任事故等违法经营行为受到刑事处罚。</w:t>
      </w:r>
    </w:p>
    <w:p>
      <w:pPr>
        <w:pStyle w:val="104"/>
        <w:spacing w:before="312" w:after="312"/>
      </w:pPr>
      <w:r>
        <w:rPr>
          <w:rFonts w:hint="eastAsia"/>
        </w:rPr>
        <w:t>结果查询</w:t>
      </w:r>
    </w:p>
    <w:p>
      <w:pPr>
        <w:pStyle w:val="162"/>
      </w:pPr>
      <w:r>
        <w:rPr>
          <w:rFonts w:hint="eastAsia"/>
        </w:rPr>
        <w:t>企业公共信用的综合评价结果为信用评分和信用等级两部分，评价结果应每月定期更新，企业信用等级为“D”的应即时更新。</w:t>
      </w:r>
    </w:p>
    <w:p>
      <w:pPr>
        <w:pStyle w:val="162"/>
      </w:pPr>
      <w:r>
        <w:rPr>
          <w:rFonts w:hint="eastAsia"/>
        </w:rPr>
        <w:t>企业可自行或经企业授权后由他人通过网络等渠道查询评价结果。</w:t>
      </w:r>
    </w:p>
    <w:p>
      <w:pPr>
        <w:pStyle w:val="104"/>
        <w:spacing w:before="312" w:after="312"/>
      </w:pPr>
      <w:r>
        <w:rPr>
          <w:rFonts w:hint="eastAsia"/>
        </w:rPr>
        <w:t>异议处理</w:t>
      </w:r>
      <w:bookmarkStart w:id="46" w:name="_GoBack"/>
      <w:bookmarkEnd w:id="46"/>
    </w:p>
    <w:p>
      <w:pPr>
        <w:pStyle w:val="162"/>
      </w:pPr>
      <w:r>
        <w:rPr>
          <w:rFonts w:hint="eastAsia"/>
        </w:rPr>
        <w:t>企业认为其信用信息不准确、不完整的，可通过网络等渠道向信用管理部门提出异议申请并提供相关证据。</w:t>
      </w:r>
    </w:p>
    <w:p>
      <w:pPr>
        <w:pStyle w:val="162"/>
      </w:pPr>
      <w:r>
        <w:rPr>
          <w:rFonts w:hint="eastAsia"/>
        </w:rPr>
        <w:t>信用管理部门应在7个工作日内完成核查，并通过网络等渠道向申请人反馈处理结果。</w:t>
      </w:r>
    </w:p>
    <w:p>
      <w:pPr>
        <w:pStyle w:val="104"/>
        <w:spacing w:before="312" w:after="312"/>
      </w:pPr>
      <w:r>
        <w:rPr>
          <w:rFonts w:hint="eastAsia"/>
        </w:rPr>
        <w:t>信用修复</w:t>
      </w:r>
    </w:p>
    <w:p>
      <w:pPr>
        <w:pStyle w:val="162"/>
      </w:pPr>
      <w:r>
        <w:rPr>
          <w:rFonts w:hint="eastAsia"/>
        </w:rPr>
        <w:t>鼓励有不良信用记录的企业开展信用修复以改善信用状况。</w:t>
      </w:r>
    </w:p>
    <w:p>
      <w:pPr>
        <w:pStyle w:val="162"/>
      </w:pPr>
      <w:r>
        <w:rPr>
          <w:rFonts w:hint="eastAsia"/>
        </w:rPr>
        <w:t>经修复的不良信用记录不再作为综合评价的依据。</w:t>
      </w:r>
    </w:p>
    <w:p>
      <w:pPr>
        <w:pStyle w:val="104"/>
        <w:spacing w:before="312" w:after="312"/>
      </w:pPr>
      <w:r>
        <w:rPr>
          <w:rFonts w:hint="eastAsia"/>
        </w:rPr>
        <w:t>应用</w:t>
      </w:r>
    </w:p>
    <w:p>
      <w:pPr>
        <w:pStyle w:val="162"/>
      </w:pPr>
      <w:r>
        <w:rPr>
          <w:rFonts w:hint="eastAsia"/>
        </w:rPr>
        <w:t>相关部门可通过</w:t>
      </w:r>
      <w:r>
        <w:rPr>
          <w:rFonts w:hint="eastAsia"/>
          <w:lang w:val="en-US" w:eastAsia="zh-CN"/>
        </w:rPr>
        <w:t>安徽省</w:t>
      </w:r>
      <w:r>
        <w:rPr>
          <w:rFonts w:hint="eastAsia"/>
        </w:rPr>
        <w:t>信用信息共享</w:t>
      </w:r>
      <w:r>
        <w:rPr>
          <w:rFonts w:hint="eastAsia"/>
          <w:lang w:val="en-US" w:eastAsia="zh-CN"/>
        </w:rPr>
        <w:t>使用</w:t>
      </w:r>
      <w:r>
        <w:rPr>
          <w:rFonts w:hint="eastAsia"/>
        </w:rPr>
        <w:t>服务平台共享企业公共信用综合评价信息，并将综合评价信息作为监管的参考依据。</w:t>
      </w:r>
    </w:p>
    <w:p>
      <w:pPr>
        <w:pStyle w:val="162"/>
      </w:pPr>
      <w:r>
        <w:rPr>
          <w:rFonts w:hint="eastAsia"/>
        </w:rPr>
        <w:t>对于信用等级为“A”的企业，可在审批服务、政策扶持、政府采购、招标投标、融资服务、资金补助、发债审核等政务服务和经济活动中给予激励措施。</w:t>
      </w:r>
    </w:p>
    <w:p>
      <w:pPr>
        <w:pStyle w:val="162"/>
      </w:pPr>
      <w:r>
        <w:rPr>
          <w:rFonts w:hint="eastAsia"/>
        </w:rPr>
        <w:t>企业公共信用综合评价信息可作为各地区、行业、领域等诚信状况评价的依据。</w:t>
      </w:r>
    </w:p>
    <w:p>
      <w:pPr>
        <w:pStyle w:val="56"/>
        <w:ind w:firstLine="420"/>
      </w:pPr>
    </w:p>
    <w:p>
      <w:pPr>
        <w:pStyle w:val="56"/>
        <w:ind w:firstLine="420"/>
      </w:pPr>
    </w:p>
    <w:p>
      <w:pPr>
        <w:pStyle w:val="56"/>
        <w:ind w:firstLine="420"/>
      </w:pPr>
    </w:p>
    <w:p>
      <w:pPr>
        <w:pStyle w:val="56"/>
        <w:ind w:firstLine="420"/>
      </w:pP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2"/>
    <w:p>
      <w:pPr>
        <w:pStyle w:val="198"/>
        <w:rPr>
          <w:vanish w:val="0"/>
        </w:rPr>
      </w:pPr>
      <w:bookmarkStart w:id="44" w:name="BookMark5"/>
    </w:p>
    <w:p>
      <w:pPr>
        <w:pStyle w:val="199"/>
        <w:rPr>
          <w:vanish w:val="0"/>
        </w:rPr>
      </w:pPr>
    </w:p>
    <w:p>
      <w:pPr>
        <w:pStyle w:val="76"/>
        <w:spacing w:after="156"/>
      </w:pPr>
      <w:r>
        <w:br w:type="textWrapping"/>
      </w:r>
      <w:r>
        <w:rPr>
          <w:rFonts w:hint="eastAsia"/>
        </w:rPr>
        <w:t>（资料性）</w:t>
      </w:r>
      <w:r>
        <w:br w:type="textWrapping"/>
      </w:r>
      <w:r>
        <w:rPr>
          <w:rFonts w:hint="eastAsia"/>
        </w:rPr>
        <w:t>企业公共信用综合评价指标体系与评分规则</w:t>
      </w:r>
    </w:p>
    <w:p>
      <w:pPr>
        <w:pStyle w:val="77"/>
        <w:spacing w:before="156" w:after="156"/>
      </w:pPr>
      <w:r>
        <w:rPr>
          <w:rFonts w:hint="eastAsia"/>
        </w:rPr>
        <w:t xml:space="preserve"> 企业公共信用综合评价指标体系与评分规则</w:t>
      </w:r>
    </w:p>
    <w:tbl>
      <w:tblPr>
        <w:tblStyle w:val="26"/>
        <w:tblW w:w="4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1345"/>
        <w:gridCol w:w="1588"/>
        <w:gridCol w:w="5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713" w:type="pct"/>
            <w:noWrap/>
            <w:vAlign w:val="center"/>
          </w:tcPr>
          <w:p>
            <w:pPr>
              <w:spacing w:line="320" w:lineRule="exact"/>
              <w:ind w:left="-42" w:leftChars="-20" w:right="-42" w:rightChars="-20"/>
              <w:jc w:val="center"/>
              <w:textAlignment w:val="center"/>
              <w:rPr>
                <w:rFonts w:ascii="宋体" w:hAnsi="Times New Roman"/>
                <w:kern w:val="0"/>
                <w:sz w:val="18"/>
                <w:szCs w:val="20"/>
              </w:rPr>
            </w:pPr>
            <w:r>
              <w:rPr>
                <w:rFonts w:hint="eastAsia" w:ascii="宋体" w:hAnsi="Times New Roman"/>
                <w:kern w:val="0"/>
                <w:sz w:val="18"/>
                <w:szCs w:val="20"/>
              </w:rPr>
              <w:t>一级指标</w:t>
            </w:r>
          </w:p>
        </w:tc>
        <w:tc>
          <w:tcPr>
            <w:tcW w:w="713" w:type="pct"/>
            <w:noWrap/>
            <w:vAlign w:val="center"/>
          </w:tcPr>
          <w:p>
            <w:pPr>
              <w:spacing w:line="320" w:lineRule="exact"/>
              <w:ind w:left="-42" w:leftChars="-20" w:right="-42" w:rightChars="-20"/>
              <w:jc w:val="center"/>
              <w:textAlignment w:val="center"/>
              <w:rPr>
                <w:rFonts w:ascii="宋体" w:hAnsi="Times New Roman"/>
                <w:kern w:val="0"/>
                <w:sz w:val="18"/>
                <w:szCs w:val="20"/>
              </w:rPr>
            </w:pPr>
            <w:r>
              <w:rPr>
                <w:rFonts w:hint="eastAsia" w:ascii="宋体" w:hAnsi="Times New Roman"/>
                <w:kern w:val="0"/>
                <w:sz w:val="18"/>
                <w:szCs w:val="20"/>
              </w:rPr>
              <w:t>二级指标</w:t>
            </w:r>
          </w:p>
        </w:tc>
        <w:tc>
          <w:tcPr>
            <w:tcW w:w="842" w:type="pct"/>
            <w:noWrap/>
            <w:vAlign w:val="center"/>
          </w:tcPr>
          <w:p>
            <w:pPr>
              <w:spacing w:line="320" w:lineRule="exact"/>
              <w:ind w:left="-42" w:leftChars="-20" w:right="-42" w:rightChars="-20"/>
              <w:jc w:val="center"/>
              <w:textAlignment w:val="center"/>
              <w:rPr>
                <w:rFonts w:ascii="宋体" w:hAnsi="Times New Roman"/>
                <w:kern w:val="0"/>
                <w:sz w:val="18"/>
                <w:szCs w:val="20"/>
              </w:rPr>
            </w:pPr>
            <w:r>
              <w:rPr>
                <w:rFonts w:hint="eastAsia" w:ascii="宋体" w:hAnsi="Times New Roman"/>
                <w:kern w:val="0"/>
                <w:sz w:val="18"/>
                <w:szCs w:val="20"/>
              </w:rPr>
              <w:t>三级指标</w:t>
            </w:r>
          </w:p>
        </w:tc>
        <w:tc>
          <w:tcPr>
            <w:tcW w:w="2732" w:type="pct"/>
            <w:vAlign w:val="center"/>
          </w:tcPr>
          <w:p>
            <w:pPr>
              <w:spacing w:line="320" w:lineRule="exact"/>
              <w:ind w:left="-42" w:leftChars="-20" w:right="-42" w:rightChars="-20"/>
              <w:jc w:val="center"/>
              <w:textAlignment w:val="center"/>
              <w:rPr>
                <w:rFonts w:ascii="宋体" w:hAnsi="Times New Roman"/>
                <w:kern w:val="0"/>
                <w:sz w:val="18"/>
                <w:szCs w:val="20"/>
              </w:rPr>
            </w:pPr>
            <w:r>
              <w:rPr>
                <w:rFonts w:hint="eastAsia" w:ascii="宋体" w:hAnsi="Times New Roman"/>
                <w:kern w:val="0"/>
                <w:sz w:val="18"/>
                <w:szCs w:val="20"/>
              </w:rPr>
              <w:t>评分规则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restar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一、基本情况</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（10分）</w:t>
            </w:r>
          </w:p>
        </w:tc>
        <w:tc>
          <w:tcPr>
            <w:tcW w:w="713" w:type="pc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人员情况</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（4分）</w:t>
            </w:r>
          </w:p>
        </w:tc>
        <w:tc>
          <w:tcPr>
            <w:tcW w:w="842" w:type="pc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法定代表人、实际控制人等主要人员失信信息</w:t>
            </w:r>
            <w:r>
              <w:rPr>
                <w:rFonts w:hint="eastAsia" w:ascii="宋体" w:hAnsi="Times New Roman"/>
                <w:kern w:val="0"/>
                <w:sz w:val="18"/>
                <w:szCs w:val="20"/>
              </w:rPr>
              <w:t>（4分）</w:t>
            </w:r>
          </w:p>
        </w:tc>
        <w:tc>
          <w:tcPr>
            <w:tcW w:w="2732" w:type="pct"/>
            <w:vAlign w:val="center"/>
          </w:tcPr>
          <w:p>
            <w:pPr>
              <w:spacing w:line="320" w:lineRule="exact"/>
              <w:ind w:left="-42" w:leftChars="-20" w:right="-42" w:rightChars="-20"/>
              <w:jc w:val="left"/>
              <w:rPr>
                <w:rFonts w:ascii="宋体" w:hAnsi="Times New Roman"/>
                <w:kern w:val="0"/>
                <w:sz w:val="18"/>
                <w:szCs w:val="20"/>
              </w:rPr>
            </w:pPr>
            <w:r>
              <w:rPr>
                <w:rFonts w:ascii="宋体" w:hAnsi="Times New Roman"/>
                <w:kern w:val="0"/>
                <w:sz w:val="18"/>
                <w:szCs w:val="20"/>
              </w:rPr>
              <w:t>1.被列入严重失信主体名单仍未退出的，扣除本指标全部分值</w:t>
            </w:r>
            <w:r>
              <w:rPr>
                <w:rFonts w:hint="eastAsia" w:ascii="宋体" w:hAnsi="Times New Roman"/>
                <w:kern w:val="0"/>
                <w:sz w:val="18"/>
                <w:szCs w:val="20"/>
              </w:rPr>
              <w:t>；</w:t>
            </w:r>
          </w:p>
          <w:p>
            <w:pPr>
              <w:spacing w:line="320" w:lineRule="exact"/>
              <w:ind w:left="-42" w:leftChars="-20" w:right="-42" w:rightChars="-20"/>
              <w:jc w:val="left"/>
              <w:rPr>
                <w:rFonts w:ascii="宋体" w:hAnsi="Times New Roman"/>
                <w:kern w:val="0"/>
                <w:sz w:val="18"/>
                <w:szCs w:val="20"/>
              </w:rPr>
            </w:pPr>
            <w:r>
              <w:rPr>
                <w:rFonts w:ascii="宋体" w:hAnsi="Times New Roman"/>
                <w:kern w:val="0"/>
                <w:sz w:val="18"/>
                <w:szCs w:val="20"/>
              </w:rPr>
              <w:t>2.每存在1条行政处罚或其他不良信息的，扣1分，直至扣除本指标全部分值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20" w:lineRule="exact"/>
              <w:ind w:left="-42" w:leftChars="-20" w:right="-42" w:rightChars="-20"/>
              <w:jc w:val="left"/>
              <w:rPr>
                <w:rFonts w:ascii="宋体" w:hAnsi="Times New Roman"/>
                <w:kern w:val="0"/>
                <w:sz w:val="18"/>
                <w:szCs w:val="20"/>
              </w:rPr>
            </w:pPr>
          </w:p>
        </w:tc>
        <w:tc>
          <w:tcPr>
            <w:tcW w:w="713" w:type="pct"/>
            <w:vMerge w:val="restar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经营情况</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（6分）</w:t>
            </w:r>
          </w:p>
        </w:tc>
        <w:tc>
          <w:tcPr>
            <w:tcW w:w="842" w:type="pc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经营异常信息</w:t>
            </w:r>
            <w:r>
              <w:rPr>
                <w:rFonts w:hint="eastAsia" w:ascii="宋体" w:hAnsi="Times New Roman"/>
                <w:kern w:val="0"/>
                <w:sz w:val="18"/>
                <w:szCs w:val="20"/>
              </w:rPr>
              <w:t>（2分）</w:t>
            </w:r>
          </w:p>
        </w:tc>
        <w:tc>
          <w:tcPr>
            <w:tcW w:w="2732" w:type="pct"/>
            <w:vAlign w:val="center"/>
          </w:tcPr>
          <w:p>
            <w:pPr>
              <w:spacing w:line="320" w:lineRule="exact"/>
              <w:ind w:left="-42" w:leftChars="-20" w:right="-42" w:rightChars="-20"/>
              <w:jc w:val="left"/>
              <w:rPr>
                <w:rFonts w:ascii="宋体" w:hAnsi="Times New Roman"/>
                <w:kern w:val="0"/>
                <w:sz w:val="18"/>
                <w:szCs w:val="20"/>
              </w:rPr>
            </w:pPr>
            <w:r>
              <w:rPr>
                <w:rFonts w:ascii="宋体" w:hAnsi="Times New Roman"/>
                <w:kern w:val="0"/>
                <w:sz w:val="18"/>
                <w:szCs w:val="20"/>
              </w:rPr>
              <w:t>被列入经营异常名录仍未退出的，扣除本指标全部分值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20" w:lineRule="exact"/>
              <w:ind w:left="-42" w:leftChars="-20" w:right="-42" w:rightChars="-20"/>
              <w:jc w:val="left"/>
              <w:rPr>
                <w:rFonts w:ascii="宋体" w:hAnsi="Times New Roman"/>
                <w:kern w:val="0"/>
                <w:sz w:val="18"/>
                <w:szCs w:val="20"/>
              </w:rPr>
            </w:pPr>
          </w:p>
        </w:tc>
        <w:tc>
          <w:tcPr>
            <w:tcW w:w="713" w:type="pct"/>
            <w:vMerge w:val="continue"/>
            <w:vAlign w:val="center"/>
          </w:tcPr>
          <w:p>
            <w:pPr>
              <w:spacing w:line="320" w:lineRule="exact"/>
              <w:ind w:left="-42" w:leftChars="-20" w:right="-42" w:rightChars="-20"/>
              <w:jc w:val="left"/>
              <w:rPr>
                <w:rFonts w:ascii="宋体" w:hAnsi="Times New Roman"/>
                <w:kern w:val="0"/>
                <w:sz w:val="18"/>
                <w:szCs w:val="20"/>
              </w:rPr>
            </w:pPr>
          </w:p>
        </w:tc>
        <w:tc>
          <w:tcPr>
            <w:tcW w:w="842" w:type="pc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分公司及分支机构信用信息</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（4分）</w:t>
            </w:r>
          </w:p>
        </w:tc>
        <w:tc>
          <w:tcPr>
            <w:tcW w:w="2732" w:type="pct"/>
            <w:vAlign w:val="center"/>
          </w:tcPr>
          <w:p>
            <w:pPr>
              <w:spacing w:line="320" w:lineRule="exact"/>
              <w:ind w:left="-42" w:leftChars="-20" w:right="-42" w:rightChars="-20"/>
              <w:jc w:val="left"/>
              <w:rPr>
                <w:rFonts w:ascii="宋体" w:hAnsi="Times New Roman"/>
                <w:kern w:val="0"/>
                <w:sz w:val="18"/>
                <w:szCs w:val="20"/>
              </w:rPr>
            </w:pPr>
            <w:r>
              <w:rPr>
                <w:rFonts w:ascii="宋体" w:hAnsi="Times New Roman"/>
                <w:kern w:val="0"/>
                <w:sz w:val="18"/>
                <w:szCs w:val="20"/>
              </w:rPr>
              <w:t>被列入严重失信主体名单仍未退出的，扣除本指标全部分值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restar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二、遵纪守法</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（70分）</w:t>
            </w:r>
          </w:p>
          <w:p>
            <w:pPr>
              <w:spacing w:line="360" w:lineRule="exact"/>
              <w:ind w:left="-42" w:leftChars="-20" w:right="-42" w:rightChars="-20"/>
              <w:jc w:val="center"/>
              <w:rPr>
                <w:rFonts w:ascii="宋体" w:hAnsi="Times New Roman"/>
                <w:kern w:val="0"/>
                <w:sz w:val="18"/>
                <w:szCs w:val="20"/>
              </w:rPr>
            </w:pPr>
          </w:p>
        </w:tc>
        <w:tc>
          <w:tcPr>
            <w:tcW w:w="713" w:type="pct"/>
            <w:vMerge w:val="restar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严重失信情况</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（30分）</w:t>
            </w:r>
          </w:p>
        </w:tc>
        <w:tc>
          <w:tcPr>
            <w:tcW w:w="842" w:type="pc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严重失信主体名单信息</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（20分）</w:t>
            </w:r>
          </w:p>
        </w:tc>
        <w:tc>
          <w:tcPr>
            <w:tcW w:w="2732" w:type="pct"/>
            <w:vAlign w:val="center"/>
          </w:tcPr>
          <w:p>
            <w:pPr>
              <w:spacing w:line="320" w:lineRule="exact"/>
              <w:ind w:left="-42" w:leftChars="-20" w:right="-42" w:rightChars="-20"/>
              <w:jc w:val="left"/>
              <w:rPr>
                <w:rFonts w:ascii="宋体" w:hAnsi="Times New Roman"/>
                <w:kern w:val="0"/>
                <w:sz w:val="18"/>
                <w:szCs w:val="20"/>
              </w:rPr>
            </w:pPr>
            <w:r>
              <w:rPr>
                <w:rFonts w:ascii="宋体" w:hAnsi="Times New Roman"/>
                <w:kern w:val="0"/>
                <w:sz w:val="18"/>
                <w:szCs w:val="20"/>
              </w:rPr>
              <w:t>被列入严重失信主体名单仍未退出的，扣除本指标全部分值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center"/>
              <w:rPr>
                <w:rFonts w:ascii="宋体" w:hAnsi="Times New Roman"/>
                <w:kern w:val="0"/>
                <w:sz w:val="18"/>
                <w:szCs w:val="20"/>
              </w:rPr>
            </w:pPr>
          </w:p>
        </w:tc>
        <w:tc>
          <w:tcPr>
            <w:tcW w:w="713" w:type="pct"/>
            <w:vMerge w:val="continue"/>
            <w:vAlign w:val="center"/>
          </w:tcPr>
          <w:p>
            <w:pPr>
              <w:spacing w:line="320" w:lineRule="exact"/>
              <w:ind w:left="-42" w:leftChars="-20" w:right="-42" w:rightChars="-20"/>
              <w:jc w:val="left"/>
              <w:rPr>
                <w:rFonts w:ascii="宋体" w:hAnsi="Times New Roman"/>
                <w:kern w:val="0"/>
                <w:sz w:val="18"/>
                <w:szCs w:val="20"/>
              </w:rPr>
            </w:pPr>
          </w:p>
        </w:tc>
        <w:tc>
          <w:tcPr>
            <w:tcW w:w="842" w:type="pc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严重情形行政处罚信息</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（10分）</w:t>
            </w:r>
          </w:p>
        </w:tc>
        <w:tc>
          <w:tcPr>
            <w:tcW w:w="2732" w:type="pct"/>
            <w:vAlign w:val="center"/>
          </w:tcPr>
          <w:p>
            <w:pPr>
              <w:spacing w:line="320" w:lineRule="exact"/>
              <w:ind w:left="-42" w:leftChars="-20" w:right="-42" w:rightChars="-20"/>
              <w:jc w:val="left"/>
              <w:rPr>
                <w:rFonts w:ascii="宋体" w:hAnsi="Times New Roman"/>
                <w:kern w:val="0"/>
                <w:sz w:val="18"/>
                <w:szCs w:val="20"/>
              </w:rPr>
            </w:pPr>
            <w:r>
              <w:rPr>
                <w:rFonts w:ascii="宋体" w:hAnsi="Times New Roman"/>
                <w:kern w:val="0"/>
                <w:sz w:val="18"/>
                <w:szCs w:val="20"/>
              </w:rPr>
              <w:t>每存在1条因严重危害人民群众身体健康和生命安全、破坏市场公平竞争和社会正常秩序的行为被处以行政处罚，其他被处以责令停产停业、吊销证照的行政处罚，以及法律法规规定或行政处罚部门认定为严重情形的行政处罚信息的，扣5分，直至扣除本指标全部分值。（处罚决定日期在3年内且公示期限为3年的行政处罚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center"/>
              <w:rPr>
                <w:rFonts w:ascii="宋体" w:hAnsi="Times New Roman"/>
                <w:kern w:val="0"/>
                <w:sz w:val="18"/>
                <w:szCs w:val="20"/>
              </w:rPr>
            </w:pPr>
          </w:p>
        </w:tc>
        <w:tc>
          <w:tcPr>
            <w:tcW w:w="713" w:type="pct"/>
            <w:vMerge w:val="restar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一般失信情况</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（20分）</w:t>
            </w:r>
          </w:p>
        </w:tc>
        <w:tc>
          <w:tcPr>
            <w:tcW w:w="842" w:type="pc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一般情形行政处罚信息</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（10分）</w:t>
            </w:r>
          </w:p>
        </w:tc>
        <w:tc>
          <w:tcPr>
            <w:tcW w:w="2732" w:type="pct"/>
            <w:vAlign w:val="center"/>
          </w:tcPr>
          <w:p>
            <w:pPr>
              <w:spacing w:line="320" w:lineRule="exact"/>
              <w:ind w:left="-42" w:leftChars="-20" w:right="-42" w:rightChars="-20"/>
              <w:jc w:val="left"/>
              <w:rPr>
                <w:rFonts w:ascii="宋体" w:hAnsi="Times New Roman"/>
                <w:kern w:val="0"/>
                <w:sz w:val="18"/>
                <w:szCs w:val="20"/>
              </w:rPr>
            </w:pPr>
            <w:r>
              <w:rPr>
                <w:rFonts w:ascii="宋体" w:hAnsi="Times New Roman"/>
                <w:kern w:val="0"/>
                <w:sz w:val="18"/>
                <w:szCs w:val="20"/>
              </w:rPr>
              <w:t>每存在1条除严重失信行为、严重行政处罚等情形外的非简易程序行政处罚信息的，扣1分，直至扣除本指标全部分值（处罚决定日期在1年内且公示期限为1年的行政处罚数据）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center"/>
              <w:rPr>
                <w:rFonts w:ascii="宋体" w:hAnsi="Times New Roman"/>
                <w:kern w:val="0"/>
                <w:sz w:val="18"/>
                <w:szCs w:val="20"/>
              </w:rPr>
            </w:pPr>
          </w:p>
        </w:tc>
        <w:tc>
          <w:tcPr>
            <w:tcW w:w="713" w:type="pct"/>
            <w:vMerge w:val="continue"/>
            <w:vAlign w:val="center"/>
          </w:tcPr>
          <w:p>
            <w:pPr>
              <w:spacing w:line="360" w:lineRule="exact"/>
              <w:ind w:left="-42" w:leftChars="-20" w:right="-42" w:rightChars="-20"/>
              <w:jc w:val="center"/>
              <w:rPr>
                <w:rFonts w:ascii="宋体" w:hAnsi="Times New Roman"/>
                <w:kern w:val="0"/>
                <w:sz w:val="18"/>
                <w:szCs w:val="20"/>
              </w:rPr>
            </w:pPr>
          </w:p>
        </w:tc>
        <w:tc>
          <w:tcPr>
            <w:tcW w:w="842" w:type="pct"/>
            <w:vAlign w:val="center"/>
          </w:tcPr>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监督检查</w:t>
            </w:r>
          </w:p>
          <w:p>
            <w:pPr>
              <w:spacing w:line="32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2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（4分）</w:t>
            </w:r>
          </w:p>
        </w:tc>
        <w:tc>
          <w:tcPr>
            <w:tcW w:w="2732" w:type="pct"/>
            <w:vAlign w:val="center"/>
          </w:tcPr>
          <w:p>
            <w:pPr>
              <w:spacing w:line="320" w:lineRule="exact"/>
              <w:ind w:left="-42" w:leftChars="-20" w:right="-42" w:rightChars="-20"/>
              <w:jc w:val="left"/>
              <w:rPr>
                <w:rFonts w:ascii="宋体" w:hAnsi="Times New Roman"/>
                <w:kern w:val="0"/>
                <w:sz w:val="18"/>
                <w:szCs w:val="20"/>
              </w:rPr>
            </w:pPr>
            <w:r>
              <w:rPr>
                <w:rFonts w:ascii="宋体" w:hAnsi="Times New Roman"/>
                <w:kern w:val="0"/>
                <w:sz w:val="18"/>
                <w:szCs w:val="20"/>
              </w:rPr>
              <w:t>每存在1条行业主管部门现场或非现场检查有问题、不合格、未通过等监督检查信息的，扣0.5分，直至扣除本指标全部分值（监督检查日期在1年内的监督检查数据）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center"/>
              <w:rPr>
                <w:rFonts w:ascii="宋体" w:hAnsi="Times New Roman"/>
                <w:kern w:val="0"/>
                <w:sz w:val="18"/>
                <w:szCs w:val="20"/>
              </w:rPr>
            </w:pPr>
          </w:p>
        </w:tc>
        <w:tc>
          <w:tcPr>
            <w:tcW w:w="713" w:type="pct"/>
            <w:vMerge w:val="continue"/>
            <w:vAlign w:val="center"/>
          </w:tcPr>
          <w:p>
            <w:pPr>
              <w:spacing w:line="360" w:lineRule="exact"/>
              <w:ind w:left="-42" w:leftChars="-20" w:right="-42" w:rightChars="-20"/>
              <w:jc w:val="center"/>
              <w:rPr>
                <w:rFonts w:ascii="宋体" w:hAnsi="Times New Roman"/>
                <w:kern w:val="0"/>
                <w:sz w:val="18"/>
                <w:szCs w:val="20"/>
              </w:rPr>
            </w:pP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信用承诺</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违诺信息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（3分）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ascii="宋体" w:hAnsi="Times New Roman"/>
                <w:kern w:val="0"/>
                <w:sz w:val="18"/>
                <w:szCs w:val="20"/>
              </w:rPr>
              <w:t>每存在1条信用承诺违诺信息，扣0.5分，直至扣除本指标全部分值（违诺认定日期在1年内的数据）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left"/>
              <w:rPr>
                <w:rFonts w:ascii="宋体" w:hAnsi="Times New Roman"/>
                <w:kern w:val="0"/>
                <w:sz w:val="18"/>
                <w:szCs w:val="20"/>
              </w:rPr>
            </w:pPr>
          </w:p>
        </w:tc>
        <w:tc>
          <w:tcPr>
            <w:tcW w:w="713" w:type="pct"/>
            <w:vMerge w:val="continue"/>
            <w:vAlign w:val="center"/>
          </w:tcPr>
          <w:p>
            <w:pPr>
              <w:spacing w:line="360" w:lineRule="exact"/>
              <w:ind w:left="-42" w:leftChars="-20" w:right="-42" w:rightChars="-20"/>
              <w:jc w:val="left"/>
              <w:rPr>
                <w:rFonts w:ascii="宋体" w:hAnsi="Times New Roman"/>
                <w:kern w:val="0"/>
                <w:sz w:val="18"/>
                <w:szCs w:val="20"/>
              </w:rPr>
            </w:pP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合同履约</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失信信息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（3分）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ascii="宋体" w:hAnsi="Times New Roman"/>
                <w:kern w:val="0"/>
                <w:sz w:val="18"/>
                <w:szCs w:val="20"/>
              </w:rPr>
              <w:t>每存在1条合同违约信息，扣0.5分，直至扣除本指标全部分值（违约认定日期在1年内的数据）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713" w:type="pct"/>
            <w:vMerge w:val="continue"/>
            <w:vAlign w:val="center"/>
          </w:tcPr>
          <w:p>
            <w:pPr>
              <w:spacing w:line="360" w:lineRule="exact"/>
              <w:ind w:left="-42" w:leftChars="-20" w:right="-42" w:rightChars="-20"/>
              <w:jc w:val="left"/>
              <w:rPr>
                <w:rFonts w:ascii="宋体" w:hAnsi="Times New Roman"/>
                <w:kern w:val="0"/>
                <w:sz w:val="18"/>
                <w:szCs w:val="20"/>
              </w:rPr>
            </w:pPr>
          </w:p>
        </w:tc>
        <w:tc>
          <w:tcPr>
            <w:tcW w:w="713"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行政强制情况</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（4分）</w:t>
            </w: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行政强制</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（4分）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ascii="宋体" w:hAnsi="Times New Roman"/>
                <w:kern w:val="0"/>
                <w:sz w:val="18"/>
                <w:szCs w:val="20"/>
              </w:rPr>
              <w:t>每存在1条被行政机关或者行政机关申请人民法院强制履行义务的行政强制信息，扣0.5分，直至扣除本指标全部分值（行政强制执行日期在1年内的数据）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left"/>
              <w:rPr>
                <w:rFonts w:ascii="宋体" w:hAnsi="Times New Roman"/>
                <w:kern w:val="0"/>
                <w:sz w:val="18"/>
                <w:szCs w:val="20"/>
              </w:rPr>
            </w:pPr>
          </w:p>
        </w:tc>
        <w:tc>
          <w:tcPr>
            <w:tcW w:w="713"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司法处理情况</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（8分）</w:t>
            </w: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司法处理</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（8分）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ascii="宋体" w:hAnsi="Times New Roman"/>
                <w:kern w:val="0"/>
                <w:sz w:val="18"/>
                <w:szCs w:val="20"/>
              </w:rPr>
              <w:t>存在未履行法院生效裁判、刑事犯罪或虚假诉讼信息的，扣除本指标全部分值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left"/>
              <w:rPr>
                <w:rFonts w:ascii="宋体" w:hAnsi="Times New Roman"/>
                <w:kern w:val="0"/>
                <w:sz w:val="18"/>
                <w:szCs w:val="20"/>
              </w:rPr>
            </w:pPr>
          </w:p>
        </w:tc>
        <w:tc>
          <w:tcPr>
            <w:tcW w:w="713"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信用评价情况</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（8分）</w:t>
            </w: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末级评价</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（8分）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ascii="宋体" w:hAnsi="Times New Roman"/>
                <w:kern w:val="0"/>
                <w:sz w:val="18"/>
                <w:szCs w:val="20"/>
              </w:rPr>
              <w:t>在最新一期行业评价中，被监管部门评为最末等级的，扣除本指标全部分值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restar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三、荣誉资质</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（15分）</w:t>
            </w:r>
          </w:p>
        </w:tc>
        <w:tc>
          <w:tcPr>
            <w:tcW w:w="713"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守信情况</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（6分）</w:t>
            </w: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守信名单</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（6分）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hint="eastAsia" w:ascii="宋体" w:hAnsi="Times New Roman"/>
                <w:kern w:val="0"/>
                <w:sz w:val="18"/>
                <w:szCs w:val="20"/>
              </w:rPr>
              <w:t>A级纳税人、海关高级认证企业等守信激励名单，以及企业获得的其他监管评价最高等级情况</w:t>
            </w:r>
            <w:r>
              <w:rPr>
                <w:rFonts w:ascii="宋体" w:hAnsi="Times New Roman"/>
                <w:kern w:val="0"/>
                <w:sz w:val="18"/>
                <w:szCs w:val="20"/>
              </w:rPr>
              <w:t>，得本指标全部分值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left"/>
              <w:rPr>
                <w:rFonts w:ascii="宋体" w:hAnsi="Times New Roman"/>
                <w:kern w:val="0"/>
                <w:sz w:val="18"/>
                <w:szCs w:val="20"/>
              </w:rPr>
            </w:pPr>
          </w:p>
        </w:tc>
        <w:tc>
          <w:tcPr>
            <w:tcW w:w="713"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表彰奖励</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（6分）</w:t>
            </w: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表彰奖励</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（6分）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hint="eastAsia" w:ascii="宋体" w:hAnsi="Times New Roman"/>
                <w:kern w:val="0"/>
                <w:sz w:val="18"/>
                <w:szCs w:val="20"/>
              </w:rPr>
              <w:t>根据国家和我省审批认可的荣誉、表彰、奖励等情况</w:t>
            </w:r>
            <w:r>
              <w:rPr>
                <w:rFonts w:ascii="宋体" w:hAnsi="Times New Roman"/>
                <w:kern w:val="0"/>
                <w:sz w:val="18"/>
                <w:szCs w:val="20"/>
              </w:rPr>
              <w:t>，按级别和数量累计赋分。获国家级表彰奖励的，每有一项得6分；获省级表彰奖励的，每有一项得3分；获市级及以下表彰奖励的，每有一项得2分；得分不超过本指标最高分值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left"/>
              <w:rPr>
                <w:rFonts w:ascii="宋体" w:hAnsi="Times New Roman"/>
                <w:kern w:val="0"/>
                <w:sz w:val="18"/>
                <w:szCs w:val="20"/>
              </w:rPr>
            </w:pPr>
          </w:p>
        </w:tc>
        <w:tc>
          <w:tcPr>
            <w:tcW w:w="713"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资质许可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（3分）</w:t>
            </w: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资质许可</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（3分）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ascii="宋体" w:hAnsi="Times New Roman"/>
                <w:kern w:val="0"/>
                <w:sz w:val="18"/>
                <w:szCs w:val="20"/>
              </w:rPr>
              <w:t>根据获得行政许可、资质证书等核准或认证的情况，按级别和数量累计赋分。获得国家级的，每有一项得2分；获省级的，每有一项得1分；获市级及以下的，每有一项得0.5分；得分不超过本指标最高分值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restar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四、社会责任</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（5分）</w:t>
            </w:r>
          </w:p>
        </w:tc>
        <w:tc>
          <w:tcPr>
            <w:tcW w:w="713"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志愿服务</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（2分）</w:t>
            </w: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志愿服务</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（2分）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ascii="宋体" w:hAnsi="Times New Roman"/>
                <w:kern w:val="0"/>
                <w:sz w:val="18"/>
                <w:szCs w:val="20"/>
              </w:rPr>
              <w:t>每参加1次志愿服务的，得0.5分；得分不超过本指标最高分值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3" w:type="pct"/>
            <w:vMerge w:val="continue"/>
            <w:vAlign w:val="center"/>
          </w:tcPr>
          <w:p>
            <w:pPr>
              <w:spacing w:line="360" w:lineRule="exact"/>
              <w:ind w:left="-42" w:leftChars="-20" w:right="-42" w:rightChars="-20"/>
              <w:jc w:val="left"/>
              <w:rPr>
                <w:rFonts w:ascii="宋体" w:hAnsi="Times New Roman"/>
                <w:kern w:val="0"/>
                <w:sz w:val="18"/>
                <w:szCs w:val="20"/>
              </w:rPr>
            </w:pPr>
          </w:p>
        </w:tc>
        <w:tc>
          <w:tcPr>
            <w:tcW w:w="713"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慈善捐赠</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（3分）</w:t>
            </w:r>
          </w:p>
        </w:tc>
        <w:tc>
          <w:tcPr>
            <w:tcW w:w="842" w:type="pct"/>
            <w:vAlign w:val="center"/>
          </w:tcPr>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慈善捐赠</w:t>
            </w:r>
          </w:p>
          <w:p>
            <w:pPr>
              <w:spacing w:line="360" w:lineRule="exact"/>
              <w:ind w:left="-42" w:leftChars="-20" w:right="-42" w:rightChars="-20"/>
              <w:jc w:val="center"/>
              <w:rPr>
                <w:rFonts w:ascii="宋体" w:hAnsi="Times New Roman"/>
                <w:kern w:val="0"/>
                <w:sz w:val="18"/>
                <w:szCs w:val="20"/>
              </w:rPr>
            </w:pPr>
            <w:r>
              <w:rPr>
                <w:rFonts w:ascii="宋体" w:hAnsi="Times New Roman"/>
                <w:kern w:val="0"/>
                <w:sz w:val="18"/>
                <w:szCs w:val="20"/>
              </w:rPr>
              <w:t>信息</w:t>
            </w:r>
          </w:p>
          <w:p>
            <w:pPr>
              <w:spacing w:line="360" w:lineRule="exact"/>
              <w:ind w:left="-42" w:leftChars="-20" w:right="-42" w:rightChars="-20"/>
              <w:jc w:val="center"/>
              <w:rPr>
                <w:rFonts w:ascii="宋体" w:hAnsi="Times New Roman"/>
                <w:kern w:val="0"/>
                <w:sz w:val="18"/>
                <w:szCs w:val="20"/>
              </w:rPr>
            </w:pPr>
            <w:r>
              <w:rPr>
                <w:rFonts w:hint="eastAsia" w:ascii="宋体" w:hAnsi="Times New Roman"/>
                <w:kern w:val="0"/>
                <w:sz w:val="18"/>
                <w:szCs w:val="20"/>
              </w:rPr>
              <w:t>（3分）</w:t>
            </w:r>
          </w:p>
        </w:tc>
        <w:tc>
          <w:tcPr>
            <w:tcW w:w="2732" w:type="pct"/>
            <w:vAlign w:val="center"/>
          </w:tcPr>
          <w:p>
            <w:pPr>
              <w:spacing w:line="360" w:lineRule="exact"/>
              <w:ind w:left="-42" w:leftChars="-20" w:right="-42" w:rightChars="-20"/>
              <w:jc w:val="left"/>
              <w:rPr>
                <w:rFonts w:ascii="宋体" w:hAnsi="Times New Roman"/>
                <w:kern w:val="0"/>
                <w:sz w:val="18"/>
                <w:szCs w:val="20"/>
              </w:rPr>
            </w:pPr>
            <w:r>
              <w:rPr>
                <w:rFonts w:ascii="宋体" w:hAnsi="Times New Roman"/>
                <w:kern w:val="0"/>
                <w:sz w:val="18"/>
                <w:szCs w:val="20"/>
              </w:rPr>
              <w:t>每参加1次慈善捐赠的，得0.5分；得分不超过本指标最高分值</w:t>
            </w:r>
          </w:p>
        </w:tc>
      </w:tr>
      <w:bookmarkEnd w:id="44"/>
    </w:tbl>
    <w:p>
      <w:pPr>
        <w:pStyle w:val="76"/>
        <w:numPr>
          <w:ilvl w:val="0"/>
          <w:numId w:val="0"/>
        </w:numPr>
        <w:spacing w:after="156"/>
      </w:pPr>
      <w:bookmarkStart w:id="45"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AES" w:cryptAlgorithmClass="hash" w:cryptAlgorithmType="typeAny" w:cryptAlgorithmSid="14" w:cryptSpinCount="100000" w:hash="HFexJGZYphRRe/PEfhaXuZFyrBj4fTgPds6zFT/axzV2cyAPWPn5lMKcSt4oNWWnsa8jf2jpsbgvyrY7FZo2JA==" w:salt="x0msn/vjGCRvPJWpAZ8lE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lM2RmNDdjMGVlZGIzZDQ0Yzc4ZDk5NTBiNDMyY2MifQ=="/>
  </w:docVars>
  <w:rsids>
    <w:rsidRoot w:val="00165163"/>
    <w:rsid w:val="0000040A"/>
    <w:rsid w:val="00000A94"/>
    <w:rsid w:val="00001972"/>
    <w:rsid w:val="00001D9A"/>
    <w:rsid w:val="00006545"/>
    <w:rsid w:val="00007B3A"/>
    <w:rsid w:val="000107E0"/>
    <w:rsid w:val="000116D1"/>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790"/>
    <w:rsid w:val="000A7311"/>
    <w:rsid w:val="000B060F"/>
    <w:rsid w:val="000B1592"/>
    <w:rsid w:val="000B1FF2"/>
    <w:rsid w:val="000B3CDA"/>
    <w:rsid w:val="000B6A0B"/>
    <w:rsid w:val="000B6C6C"/>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163"/>
    <w:rsid w:val="00165434"/>
    <w:rsid w:val="0016580B"/>
    <w:rsid w:val="00165F49"/>
    <w:rsid w:val="00166B88"/>
    <w:rsid w:val="0016770A"/>
    <w:rsid w:val="00170804"/>
    <w:rsid w:val="001708E9"/>
    <w:rsid w:val="0017340B"/>
    <w:rsid w:val="00173FB1"/>
    <w:rsid w:val="00175004"/>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808"/>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65D"/>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F9C"/>
    <w:rsid w:val="002A25DC"/>
    <w:rsid w:val="002A3AAB"/>
    <w:rsid w:val="002A4CEA"/>
    <w:rsid w:val="002A5977"/>
    <w:rsid w:val="002A5A13"/>
    <w:rsid w:val="002A757F"/>
    <w:rsid w:val="002A7F44"/>
    <w:rsid w:val="002B0C40"/>
    <w:rsid w:val="002B1966"/>
    <w:rsid w:val="002B2184"/>
    <w:rsid w:val="002B4508"/>
    <w:rsid w:val="002B5779"/>
    <w:rsid w:val="002B7332"/>
    <w:rsid w:val="002B7F51"/>
    <w:rsid w:val="002C09E7"/>
    <w:rsid w:val="002C1E06"/>
    <w:rsid w:val="002C1E1C"/>
    <w:rsid w:val="002C3F07"/>
    <w:rsid w:val="002C5278"/>
    <w:rsid w:val="002C7EBB"/>
    <w:rsid w:val="002D06C1"/>
    <w:rsid w:val="002D42B5"/>
    <w:rsid w:val="002D4F1A"/>
    <w:rsid w:val="002D5308"/>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5B3B"/>
    <w:rsid w:val="003474AA"/>
    <w:rsid w:val="00350D1D"/>
    <w:rsid w:val="00352C83"/>
    <w:rsid w:val="003615D2"/>
    <w:rsid w:val="0036213A"/>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691"/>
    <w:rsid w:val="003C0A6C"/>
    <w:rsid w:val="003C14F8"/>
    <w:rsid w:val="003C1805"/>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052"/>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8B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F2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51A"/>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A0D"/>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05F"/>
    <w:rsid w:val="00653FED"/>
    <w:rsid w:val="00654EC0"/>
    <w:rsid w:val="0065525B"/>
    <w:rsid w:val="00655D4F"/>
    <w:rsid w:val="00656D29"/>
    <w:rsid w:val="006640E5"/>
    <w:rsid w:val="006646F1"/>
    <w:rsid w:val="00664929"/>
    <w:rsid w:val="00664F62"/>
    <w:rsid w:val="006655E1"/>
    <w:rsid w:val="00670005"/>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780"/>
    <w:rsid w:val="00823303"/>
    <w:rsid w:val="008233B2"/>
    <w:rsid w:val="00823A9F"/>
    <w:rsid w:val="00823C85"/>
    <w:rsid w:val="00825138"/>
    <w:rsid w:val="008269DD"/>
    <w:rsid w:val="00830621"/>
    <w:rsid w:val="0083348C"/>
    <w:rsid w:val="008373D3"/>
    <w:rsid w:val="00840617"/>
    <w:rsid w:val="00840F84"/>
    <w:rsid w:val="00842A47"/>
    <w:rsid w:val="00843C13"/>
    <w:rsid w:val="008450CB"/>
    <w:rsid w:val="008454F8"/>
    <w:rsid w:val="00850FC6"/>
    <w:rsid w:val="0085173A"/>
    <w:rsid w:val="00854175"/>
    <w:rsid w:val="00856316"/>
    <w:rsid w:val="008603CE"/>
    <w:rsid w:val="008620FC"/>
    <w:rsid w:val="008627A5"/>
    <w:rsid w:val="00863E05"/>
    <w:rsid w:val="00864EB4"/>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458"/>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88A"/>
    <w:rsid w:val="009911AF"/>
    <w:rsid w:val="00991875"/>
    <w:rsid w:val="00991F92"/>
    <w:rsid w:val="00992985"/>
    <w:rsid w:val="00993889"/>
    <w:rsid w:val="00994376"/>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CB8"/>
    <w:rsid w:val="009D4196"/>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10D"/>
    <w:rsid w:val="00A57142"/>
    <w:rsid w:val="00A629F4"/>
    <w:rsid w:val="00A648CD"/>
    <w:rsid w:val="00A6537A"/>
    <w:rsid w:val="00A67866"/>
    <w:rsid w:val="00A70B07"/>
    <w:rsid w:val="00A723F8"/>
    <w:rsid w:val="00A77CCB"/>
    <w:rsid w:val="00A83D8D"/>
    <w:rsid w:val="00A8446B"/>
    <w:rsid w:val="00A8473F"/>
    <w:rsid w:val="00A862D6"/>
    <w:rsid w:val="00A8715E"/>
    <w:rsid w:val="00A8734D"/>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F59"/>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003"/>
    <w:rsid w:val="00BB203B"/>
    <w:rsid w:val="00BB5F8F"/>
    <w:rsid w:val="00BB657A"/>
    <w:rsid w:val="00BC1A4E"/>
    <w:rsid w:val="00BC4790"/>
    <w:rsid w:val="00BC5DC7"/>
    <w:rsid w:val="00BC6B8B"/>
    <w:rsid w:val="00BC73D8"/>
    <w:rsid w:val="00BD0979"/>
    <w:rsid w:val="00BD52D7"/>
    <w:rsid w:val="00BD5AD2"/>
    <w:rsid w:val="00BE22F3"/>
    <w:rsid w:val="00BE5B52"/>
    <w:rsid w:val="00BE7B8D"/>
    <w:rsid w:val="00BF0993"/>
    <w:rsid w:val="00BF10A9"/>
    <w:rsid w:val="00BF1703"/>
    <w:rsid w:val="00BF18E5"/>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0"/>
    <w:rsid w:val="00C819F8"/>
    <w:rsid w:val="00C8248C"/>
    <w:rsid w:val="00C84E33"/>
    <w:rsid w:val="00C86D6F"/>
    <w:rsid w:val="00C905FC"/>
    <w:rsid w:val="00C9161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3A33"/>
    <w:rsid w:val="00D61D59"/>
    <w:rsid w:val="00D66846"/>
    <w:rsid w:val="00D675FB"/>
    <w:rsid w:val="00D71F25"/>
    <w:rsid w:val="00D72A9C"/>
    <w:rsid w:val="00D77031"/>
    <w:rsid w:val="00D84941"/>
    <w:rsid w:val="00D84FA1"/>
    <w:rsid w:val="00D851F0"/>
    <w:rsid w:val="00D86DB7"/>
    <w:rsid w:val="00D926D0"/>
    <w:rsid w:val="00D93030"/>
    <w:rsid w:val="00D950E1"/>
    <w:rsid w:val="00D952A6"/>
    <w:rsid w:val="00D96B64"/>
    <w:rsid w:val="00D97F99"/>
    <w:rsid w:val="00DA1E08"/>
    <w:rsid w:val="00DA24F8"/>
    <w:rsid w:val="00DA28E8"/>
    <w:rsid w:val="00DA38D3"/>
    <w:rsid w:val="00DA3932"/>
    <w:rsid w:val="00DA3AFC"/>
    <w:rsid w:val="00DA5191"/>
    <w:rsid w:val="00DA64F8"/>
    <w:rsid w:val="00DA67BB"/>
    <w:rsid w:val="00DA6C15"/>
    <w:rsid w:val="00DA7694"/>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5C4"/>
    <w:rsid w:val="00DF1961"/>
    <w:rsid w:val="00DF44DE"/>
    <w:rsid w:val="00DF5F11"/>
    <w:rsid w:val="00E01138"/>
    <w:rsid w:val="00E02DFB"/>
    <w:rsid w:val="00E030F9"/>
    <w:rsid w:val="00E0311A"/>
    <w:rsid w:val="00E03138"/>
    <w:rsid w:val="00E06404"/>
    <w:rsid w:val="00E065D2"/>
    <w:rsid w:val="00E11A85"/>
    <w:rsid w:val="00E12495"/>
    <w:rsid w:val="00E13486"/>
    <w:rsid w:val="00E15CCD"/>
    <w:rsid w:val="00E202EF"/>
    <w:rsid w:val="00E210B5"/>
    <w:rsid w:val="00E23933"/>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4EC"/>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5877"/>
    <w:rsid w:val="00F420D5"/>
    <w:rsid w:val="00F451EA"/>
    <w:rsid w:val="00F45447"/>
    <w:rsid w:val="00F456C6"/>
    <w:rsid w:val="00F4577B"/>
    <w:rsid w:val="00F46496"/>
    <w:rsid w:val="00F474D0"/>
    <w:rsid w:val="00F50179"/>
    <w:rsid w:val="00F515EE"/>
    <w:rsid w:val="00F56511"/>
    <w:rsid w:val="00F6194E"/>
    <w:rsid w:val="00F61EAC"/>
    <w:rsid w:val="00F623AC"/>
    <w:rsid w:val="00F6412A"/>
    <w:rsid w:val="00F65893"/>
    <w:rsid w:val="00F66A4A"/>
    <w:rsid w:val="00F71E22"/>
    <w:rsid w:val="00F72142"/>
    <w:rsid w:val="00F72AE7"/>
    <w:rsid w:val="00F75558"/>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6A1687"/>
    <w:rsid w:val="1CDF6F49"/>
    <w:rsid w:val="1D973864"/>
    <w:rsid w:val="1E9768A9"/>
    <w:rsid w:val="24013373"/>
    <w:rsid w:val="24F02DBE"/>
    <w:rsid w:val="2A846AAC"/>
    <w:rsid w:val="346B1830"/>
    <w:rsid w:val="39FE4185"/>
    <w:rsid w:val="3D9A6611"/>
    <w:rsid w:val="43EC523F"/>
    <w:rsid w:val="4D7762D0"/>
    <w:rsid w:val="4DEA6AA2"/>
    <w:rsid w:val="508872DA"/>
    <w:rsid w:val="51F868C1"/>
    <w:rsid w:val="545939AC"/>
    <w:rsid w:val="58F033DB"/>
    <w:rsid w:val="59CF3C41"/>
    <w:rsid w:val="5DDE339C"/>
    <w:rsid w:val="610B3A99"/>
    <w:rsid w:val="65D66EE8"/>
    <w:rsid w:val="755257B7"/>
    <w:rsid w:val="76C84BF7"/>
    <w:rsid w:val="779416A9"/>
    <w:rsid w:val="78112CFA"/>
    <w:rsid w:val="792F5E00"/>
    <w:rsid w:val="7A476B1B"/>
    <w:rsid w:val="7A943A2A"/>
    <w:rsid w:val="7B703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font14"/>
    <w:basedOn w:val="1"/>
    <w:qFormat/>
    <w:uiPriority w:val="0"/>
    <w:pPr>
      <w:widowControl/>
      <w:adjustRightInd/>
      <w:spacing w:before="100" w:beforeAutospacing="1" w:after="100" w:afterAutospacing="1" w:line="240" w:lineRule="auto"/>
      <w:jc w:val="left"/>
    </w:pPr>
    <w:rPr>
      <w:rFonts w:ascii="宋体" w:hAnsi="宋体" w:cs="宋体"/>
      <w:kern w:val="0"/>
      <w:sz w:val="18"/>
      <w:szCs w:val="18"/>
    </w:rPr>
  </w:style>
  <w:style w:type="paragraph" w:customStyle="1" w:styleId="231">
    <w:name w:val="段"/>
    <w:qFormat/>
    <w:uiPriority w:val="0"/>
    <w:pPr>
      <w:autoSpaceDE w:val="0"/>
      <w:autoSpaceDN w:val="0"/>
      <w:spacing w:after="200" w:line="276" w:lineRule="auto"/>
      <w:ind w:firstLine="200" w:firstLineChars="200"/>
      <w:jc w:val="both"/>
    </w:pPr>
    <w:rPr>
      <w:rFonts w:ascii="宋体"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8CD87753FA24A5EB153DEB8E5DBEFE1"/>
        <w:style w:val=""/>
        <w:category>
          <w:name w:val="常规"/>
          <w:gallery w:val="placeholder"/>
        </w:category>
        <w:types>
          <w:type w:val="bbPlcHdr"/>
        </w:types>
        <w:behaviors>
          <w:behavior w:val="content"/>
        </w:behaviors>
        <w:description w:val=""/>
        <w:guid w:val="{A433A9FE-7A00-46A2-9293-F1FDC29BE083}"/>
      </w:docPartPr>
      <w:docPartBody>
        <w:p>
          <w:pPr>
            <w:pStyle w:val="5"/>
          </w:pPr>
          <w:r>
            <w:rPr>
              <w:rStyle w:val="4"/>
              <w:rFonts w:hint="eastAsia"/>
            </w:rPr>
            <w:t>单击或点击此处输入文字。</w:t>
          </w:r>
        </w:p>
      </w:docPartBody>
    </w:docPart>
    <w:docPart>
      <w:docPartPr>
        <w:name w:val="54BF574FEEF74F198FCEEC1BE0A8CB1C"/>
        <w:style w:val=""/>
        <w:category>
          <w:name w:val="常规"/>
          <w:gallery w:val="placeholder"/>
        </w:category>
        <w:types>
          <w:type w:val="bbPlcHdr"/>
        </w:types>
        <w:behaviors>
          <w:behavior w:val="content"/>
        </w:behaviors>
        <w:description w:val=""/>
        <w:guid w:val="{15CE1109-3D9C-4570-A8C9-407A2DF0B49D}"/>
      </w:docPartPr>
      <w:docPartBody>
        <w:p>
          <w:pPr>
            <w:pStyle w:val="7"/>
          </w:pPr>
          <w:r>
            <w:rPr>
              <w:rStyle w:val="4"/>
              <w:rFonts w:hint="eastAsia"/>
            </w:rPr>
            <w:t>选择一项。</w:t>
          </w:r>
        </w:p>
      </w:docPartBody>
    </w:docPart>
    <w:docPart>
      <w:docPartPr>
        <w:name w:val="{08a6a2c9-97a5-490e-863e-cf4b7c49c36b}"/>
        <w:style w:val=""/>
        <w:category>
          <w:name w:val="常规"/>
          <w:gallery w:val="placeholder"/>
        </w:category>
        <w:types>
          <w:type w:val="bbPlcHdr"/>
        </w:types>
        <w:behaviors>
          <w:behavior w:val="content"/>
        </w:behaviors>
        <w:description w:val=""/>
        <w:guid w:val="{08a6a2c9-97a5-490e-863e-cf4b7c49c36b}"/>
      </w:docPartPr>
      <w:docPartBody>
        <w:p>
          <w:pPr>
            <w:pStyle w:val="8"/>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A9"/>
    <w:rsid w:val="001703A9"/>
    <w:rsid w:val="0026168F"/>
    <w:rsid w:val="00603FC8"/>
    <w:rsid w:val="00B81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8CD87753FA24A5EB153DEB8E5DBEF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4831E6124564229A281662573ABB1A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4BF574FEEF74F198FCEEC1BE0A8CB1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3E4422F2E63849218C89289B39F3AE6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2906</Words>
  <Characters>2988</Characters>
  <Lines>25</Lines>
  <Paragraphs>7</Paragraphs>
  <TotalTime>1</TotalTime>
  <ScaleCrop>false</ScaleCrop>
  <LinksUpToDate>false</LinksUpToDate>
  <CharactersWithSpaces>3024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2023-03-27T06:28:00Z</dcterms:created>
  <dc:creator>林兴虹</dc:creator>
  <dc:description>&lt;config cover="true" show_menu="true" version="1.0.0" doctype="SDKXY"&gt;_x000d_
&lt;/config&gt;</dc:description>
  <cp:lastModifiedBy>sylgxx</cp:lastModifiedBy>
  <cp:lastPrinted>2020-08-30T10:00:00Z</cp:lastPrinted>
  <dcterms:modified xsi:type="dcterms:W3CDTF">2023-10-18T08:22:45Z</dcterms:modified>
  <dc:title>地方标准</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91A63E5DCA7043AAB11898412C586D16_12</vt:lpwstr>
  </property>
</Properties>
</file>